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D08A" w14:textId="77777777" w:rsidR="008C7ECE" w:rsidRPr="00523A7E" w:rsidRDefault="008C7ECE" w:rsidP="00636A55">
      <w:pPr>
        <w:pStyle w:val="Sommario1"/>
        <w:tabs>
          <w:tab w:val="clear" w:pos="426"/>
          <w:tab w:val="clear" w:pos="851"/>
          <w:tab w:val="clear" w:pos="9299"/>
        </w:tabs>
        <w:spacing w:before="0"/>
      </w:pPr>
    </w:p>
    <w:p w14:paraId="34004288" w14:textId="77777777" w:rsidR="008C7ECE" w:rsidRPr="00523A7E" w:rsidRDefault="008C7ECE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jc w:val="center"/>
      </w:pPr>
    </w:p>
    <w:p w14:paraId="090533C0" w14:textId="77777777" w:rsidR="004A64B1" w:rsidRPr="00523A7E" w:rsidRDefault="004A64B1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jc w:val="center"/>
        <w:rPr>
          <w:rFonts w:asciiTheme="minorHAnsi" w:hAnsiTheme="minorHAnsi"/>
        </w:rPr>
      </w:pPr>
    </w:p>
    <w:p w14:paraId="279F0626" w14:textId="74E86FCA" w:rsidR="00AA05E1" w:rsidRPr="00523A7E" w:rsidRDefault="008C7ECE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Contratto per l</w:t>
      </w:r>
      <w:r w:rsidR="00BF66A9">
        <w:rPr>
          <w:rFonts w:asciiTheme="minorHAnsi" w:hAnsiTheme="minorHAnsi"/>
          <w:b/>
          <w:sz w:val="28"/>
        </w:rPr>
        <w:t>’</w:t>
      </w:r>
      <w:r>
        <w:rPr>
          <w:rFonts w:asciiTheme="minorHAnsi" w:hAnsiTheme="minorHAnsi"/>
          <w:b/>
          <w:sz w:val="28"/>
        </w:rPr>
        <w:t>acquisto di hardware</w:t>
      </w:r>
    </w:p>
    <w:p w14:paraId="1ABB9887" w14:textId="77777777" w:rsidR="008C7ECE" w:rsidRPr="00523A7E" w:rsidRDefault="008C7ECE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center"/>
        <w:rPr>
          <w:rFonts w:asciiTheme="minorHAnsi" w:hAnsiTheme="minorHAnsi"/>
          <w:szCs w:val="22"/>
        </w:rPr>
      </w:pPr>
    </w:p>
    <w:p w14:paraId="29D739C7" w14:textId="77777777" w:rsidR="00DF7101" w:rsidRPr="00523A7E" w:rsidRDefault="00DF7101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center"/>
        <w:rPr>
          <w:rFonts w:asciiTheme="minorHAnsi" w:hAnsiTheme="minorHAnsi"/>
        </w:rPr>
      </w:pPr>
    </w:p>
    <w:p w14:paraId="40D04CC0" w14:textId="77777777" w:rsidR="008C7ECE" w:rsidRPr="00523A7E" w:rsidRDefault="008C7ECE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tra</w:t>
      </w:r>
    </w:p>
    <w:p w14:paraId="121D4A34" w14:textId="77777777" w:rsidR="004A64B1" w:rsidRPr="00523A7E" w:rsidRDefault="004A64B1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rPr>
          <w:rFonts w:asciiTheme="minorHAnsi" w:hAnsiTheme="minorHAnsi"/>
        </w:rPr>
      </w:pPr>
    </w:p>
    <w:p w14:paraId="08B46850" w14:textId="77777777" w:rsidR="008C7ECE" w:rsidRPr="00523A7E" w:rsidRDefault="00AA05E1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center"/>
        <w:rPr>
          <w:rFonts w:asciiTheme="minorHAnsi" w:hAnsiTheme="minorHAnsi"/>
        </w:rPr>
      </w:pPr>
      <w:r>
        <w:rPr>
          <w:rFonts w:asciiTheme="minorHAnsi" w:hAnsiTheme="minorHAnsi"/>
          <w:highlight w:val="yellow"/>
        </w:rPr>
        <w:t>[…]</w:t>
      </w:r>
    </w:p>
    <w:p w14:paraId="0C127A1D" w14:textId="77777777" w:rsidR="004A64B1" w:rsidRPr="00523A7E" w:rsidRDefault="004A64B1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center"/>
        <w:rPr>
          <w:rFonts w:asciiTheme="minorHAnsi" w:hAnsiTheme="minorHAnsi"/>
        </w:rPr>
      </w:pPr>
    </w:p>
    <w:p w14:paraId="3BE37517" w14:textId="77777777" w:rsidR="008C7ECE" w:rsidRPr="00523A7E" w:rsidRDefault="008C7ECE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right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in qualità di beneficiario </w:t>
      </w:r>
      <w:r>
        <w:rPr>
          <w:rFonts w:asciiTheme="minorHAnsi" w:hAnsiTheme="minorHAnsi"/>
        </w:rPr>
        <w:t>(= acquirente)</w:t>
      </w:r>
    </w:p>
    <w:p w14:paraId="200FC2EE" w14:textId="77777777" w:rsidR="004A64B1" w:rsidRPr="00523A7E" w:rsidRDefault="004A64B1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rPr>
          <w:rFonts w:asciiTheme="minorHAnsi" w:hAnsiTheme="minorHAnsi"/>
        </w:rPr>
      </w:pPr>
    </w:p>
    <w:p w14:paraId="17B5FA8E" w14:textId="289B3B52" w:rsidR="008C7ECE" w:rsidRPr="00523A7E" w:rsidRDefault="008C7ECE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</w:p>
    <w:p w14:paraId="3B59E81D" w14:textId="77777777" w:rsidR="004A64B1" w:rsidRPr="00523A7E" w:rsidRDefault="004A64B1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rPr>
          <w:rFonts w:asciiTheme="minorHAnsi" w:hAnsiTheme="minorHAnsi"/>
        </w:rPr>
      </w:pPr>
    </w:p>
    <w:p w14:paraId="032A61CD" w14:textId="77777777" w:rsidR="008C7ECE" w:rsidRPr="00523A7E" w:rsidRDefault="00AA05E1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center"/>
        <w:rPr>
          <w:rFonts w:asciiTheme="minorHAnsi" w:hAnsiTheme="minorHAnsi"/>
        </w:rPr>
      </w:pPr>
      <w:r>
        <w:rPr>
          <w:rFonts w:asciiTheme="minorHAnsi" w:hAnsiTheme="minorHAnsi"/>
          <w:highlight w:val="yellow"/>
        </w:rPr>
        <w:t>[…]</w:t>
      </w:r>
    </w:p>
    <w:p w14:paraId="0BF6B0F8" w14:textId="77777777" w:rsidR="008C7ECE" w:rsidRPr="00523A7E" w:rsidRDefault="008C7ECE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center"/>
        <w:rPr>
          <w:rFonts w:asciiTheme="minorHAnsi" w:hAnsiTheme="minorHAnsi"/>
        </w:rPr>
      </w:pPr>
    </w:p>
    <w:p w14:paraId="11EFD61E" w14:textId="77777777" w:rsidR="008C7ECE" w:rsidRPr="00523A7E" w:rsidRDefault="008C7ECE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right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in qualità di offerente </w:t>
      </w:r>
      <w:r>
        <w:rPr>
          <w:rFonts w:asciiTheme="minorHAnsi" w:hAnsiTheme="minorHAnsi"/>
        </w:rPr>
        <w:t>(= venditore)</w:t>
      </w:r>
    </w:p>
    <w:p w14:paraId="38F5F3F6" w14:textId="77777777" w:rsidR="00B02596" w:rsidRPr="00523A7E" w:rsidRDefault="00B02596" w:rsidP="00636A5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right"/>
        <w:rPr>
          <w:rFonts w:asciiTheme="minorHAnsi" w:hAnsiTheme="minorHAnsi"/>
        </w:rPr>
      </w:pPr>
    </w:p>
    <w:p w14:paraId="4E9D025D" w14:textId="77777777" w:rsidR="00B02596" w:rsidRPr="00523A7E" w:rsidRDefault="00342D99" w:rsidP="00B02596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concernente</w:t>
      </w:r>
    </w:p>
    <w:p w14:paraId="787091C8" w14:textId="77777777" w:rsidR="00342D99" w:rsidRPr="00523A7E" w:rsidRDefault="00342D99" w:rsidP="00B02596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rPr>
          <w:rFonts w:asciiTheme="minorHAnsi" w:hAnsiTheme="minorHAnsi"/>
        </w:rPr>
      </w:pPr>
    </w:p>
    <w:p w14:paraId="1195AA5B" w14:textId="77777777" w:rsidR="00342D99" w:rsidRPr="00523A7E" w:rsidRDefault="00342D99" w:rsidP="00342D99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center"/>
        <w:rPr>
          <w:rFonts w:asciiTheme="minorHAnsi" w:hAnsiTheme="minorHAnsi"/>
        </w:rPr>
      </w:pPr>
      <w:r>
        <w:rPr>
          <w:rFonts w:asciiTheme="minorHAnsi" w:hAnsiTheme="minorHAnsi"/>
          <w:highlight w:val="yellow"/>
        </w:rPr>
        <w:t>[</w:t>
      </w:r>
      <w:r>
        <w:rPr>
          <w:rFonts w:asciiTheme="minorHAnsi" w:hAnsiTheme="minorHAnsi"/>
          <w:i/>
          <w:highlight w:val="yellow"/>
        </w:rPr>
        <w:t>Inserire titolo</w:t>
      </w:r>
      <w:r>
        <w:rPr>
          <w:rFonts w:asciiTheme="minorHAnsi" w:hAnsiTheme="minorHAnsi"/>
          <w:highlight w:val="yellow"/>
        </w:rPr>
        <w:t>]</w:t>
      </w:r>
    </w:p>
    <w:p w14:paraId="35B532E9" w14:textId="77777777" w:rsidR="00E91669" w:rsidRPr="00523A7E" w:rsidRDefault="00E91669" w:rsidP="00342D99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jc w:val="center"/>
        <w:rPr>
          <w:rFonts w:asciiTheme="minorHAnsi" w:hAnsiTheme="minorHAnsi"/>
        </w:rPr>
      </w:pPr>
    </w:p>
    <w:p w14:paraId="036EE3EC" w14:textId="77777777" w:rsidR="004A64B1" w:rsidRPr="00523A7E" w:rsidRDefault="004A64B1" w:rsidP="00FD67B9">
      <w:pPr>
        <w:pBdr>
          <w:bottom w:val="single" w:sz="4" w:space="1" w:color="auto"/>
        </w:pBd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ind w:left="426" w:hanging="426"/>
        <w:rPr>
          <w:rFonts w:asciiTheme="minorHAnsi" w:hAnsiTheme="minorHAnsi"/>
        </w:rPr>
      </w:pPr>
    </w:p>
    <w:p w14:paraId="502A8EF4" w14:textId="77777777" w:rsidR="00FD67B9" w:rsidRPr="00523A7E" w:rsidRDefault="00FD67B9" w:rsidP="004A64B1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ind w:left="426" w:hanging="426"/>
        <w:rPr>
          <w:rFonts w:asciiTheme="minorHAnsi" w:hAnsiTheme="minorHAnsi"/>
        </w:rPr>
      </w:pPr>
    </w:p>
    <w:p w14:paraId="0BBB05A7" w14:textId="77777777" w:rsidR="004A64B1" w:rsidRPr="00523A7E" w:rsidRDefault="004A64B1" w:rsidP="004A64B1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ind w:left="426" w:hanging="426"/>
        <w:rPr>
          <w:rFonts w:asciiTheme="minorHAnsi" w:hAnsiTheme="minorHAnsi"/>
        </w:rPr>
      </w:pPr>
    </w:p>
    <w:sdt>
      <w:sdtPr>
        <w:rPr>
          <w:rFonts w:asciiTheme="minorHAnsi" w:hAnsiTheme="minorHAnsi" w:cstheme="minorHAnsi"/>
          <w:color w:val="auto"/>
          <w:sz w:val="22"/>
          <w:szCs w:val="22"/>
          <w:lang w:val="it-IT"/>
        </w:rPr>
        <w:id w:val="983899815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lang w:eastAsia="de-DE"/>
        </w:rPr>
      </w:sdtEndPr>
      <w:sdtContent>
        <w:p w14:paraId="7204E6A7" w14:textId="50A2ED11" w:rsidR="00E91E24" w:rsidRPr="00E91E24" w:rsidRDefault="00E91E24">
          <w:pPr>
            <w:pStyle w:val="Titolosommario"/>
            <w:rPr>
              <w:rFonts w:asciiTheme="minorHAnsi" w:hAnsiTheme="minorHAnsi" w:cstheme="minorHAnsi"/>
              <w:b/>
              <w:bCs/>
              <w:color w:val="auto"/>
              <w:sz w:val="22"/>
              <w:szCs w:val="22"/>
            </w:rPr>
          </w:pPr>
          <w:r w:rsidRPr="00E91E24">
            <w:rPr>
              <w:rFonts w:asciiTheme="minorHAnsi" w:hAnsiTheme="minorHAnsi" w:cstheme="minorHAnsi"/>
              <w:b/>
              <w:bCs/>
              <w:color w:val="auto"/>
              <w:sz w:val="22"/>
              <w:szCs w:val="22"/>
              <w:lang w:val="it-IT"/>
            </w:rPr>
            <w:t>Indice</w:t>
          </w:r>
        </w:p>
        <w:p w14:paraId="7067DD5B" w14:textId="4AAB4B6D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r w:rsidRPr="00E91E24">
            <w:rPr>
              <w:rFonts w:asciiTheme="minorHAnsi" w:hAnsiTheme="minorHAnsi" w:cstheme="minorHAnsi"/>
              <w:szCs w:val="22"/>
            </w:rPr>
            <w:fldChar w:fldCharType="begin"/>
          </w:r>
          <w:r w:rsidRPr="00E91E24">
            <w:rPr>
              <w:rFonts w:asciiTheme="minorHAnsi" w:hAnsiTheme="minorHAnsi" w:cstheme="minorHAnsi"/>
              <w:szCs w:val="22"/>
            </w:rPr>
            <w:instrText xml:space="preserve"> TOC \o "1-3" \h \z \u </w:instrText>
          </w:r>
          <w:r w:rsidRPr="00E91E24">
            <w:rPr>
              <w:rFonts w:asciiTheme="minorHAnsi" w:hAnsiTheme="minorHAnsi" w:cstheme="minorHAnsi"/>
              <w:szCs w:val="22"/>
            </w:rPr>
            <w:fldChar w:fldCharType="separate"/>
          </w:r>
          <w:hyperlink w:anchor="_Toc199484627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 xml:space="preserve">1. 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Oggetto dell’acquisto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_Toc199484627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2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5BA3EAFC" w14:textId="20698577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hyperlink w:anchor="_Toc199484628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 xml:space="preserve">2. 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Elementi del contratto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_Toc199484628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2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3A7ABA5C" w14:textId="1D7A6D3B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hyperlink w:anchor="_Toc199484629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 xml:space="preserve">3. 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Allegati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_Toc199484629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2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114C3C15" w14:textId="0BE7701B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hyperlink w:anchor="_Toc199484630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4.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Istruzione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_Toc199484630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3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34A9B13E" w14:textId="1D43C5B8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hyperlink w:anchor="_Toc199484631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5.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Collaborazione del beneficiario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_Toc199484631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3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6D017987" w14:textId="784D6D3D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hyperlink w:anchor="_Toc199484632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6.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Termini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_Toc199484632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3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6CA0205C" w14:textId="6C1E09A1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hyperlink w:anchor="_Toc199484633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7.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Retribuzione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_Toc199484633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4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56064E0D" w14:textId="47A5020E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hyperlink w:anchor="_Toc199484634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8.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Indirizzo di fatturazione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_Toc199484634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4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4AED2077" w14:textId="7B9E50A3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hyperlink w:anchor="_Toc199484635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9.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Luogo di esecuzione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_Toc199484635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4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0603439C" w14:textId="7B15C744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hyperlink w:anchor="_Toc199484636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10.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Disposizioni relative al collaudo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_Toc199484636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4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46456AFF" w14:textId="377B3CCC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hyperlink w:anchor="_Toc199484637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11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Accordi particolari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_Toc199484637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5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7026A2BC" w14:textId="2D9B972C" w:rsidR="00E91E24" w:rsidRPr="00E91E24" w:rsidRDefault="00E91E24">
          <w:pPr>
            <w:pStyle w:val="Sommario1"/>
            <w:rPr>
              <w:rFonts w:asciiTheme="minorHAnsi" w:eastAsiaTheme="minorEastAsia" w:hAnsiTheme="minorHAnsi" w:cstheme="minorHAnsi"/>
              <w:noProof/>
              <w:kern w:val="2"/>
              <w:szCs w:val="22"/>
              <w:lang w:eastAsia="it-CH"/>
              <w14:ligatures w14:val="standardContextual"/>
            </w:rPr>
          </w:pPr>
          <w:hyperlink w:anchor="_Toc199484638" w:history="1"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 xml:space="preserve">12. </w:t>
            </w:r>
            <w:r w:rsidRPr="00E91E24">
              <w:rPr>
                <w:rFonts w:asciiTheme="minorHAnsi" w:eastAsiaTheme="minorEastAsia" w:hAnsiTheme="minorHAnsi" w:cstheme="minorHAnsi"/>
                <w:noProof/>
                <w:kern w:val="2"/>
                <w:szCs w:val="22"/>
                <w:lang w:eastAsia="it-CH"/>
                <w14:ligatures w14:val="standardContextual"/>
              </w:rPr>
              <w:tab/>
            </w:r>
            <w:r w:rsidRPr="00E91E24">
              <w:rPr>
                <w:rStyle w:val="Collegamentoipertestuale"/>
                <w:rFonts w:asciiTheme="minorHAnsi" w:hAnsiTheme="minorHAnsi" w:cstheme="minorHAnsi"/>
                <w:noProof/>
                <w:color w:val="auto"/>
                <w:szCs w:val="22"/>
              </w:rPr>
              <w:t>Disposizioni finali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ab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begin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instrText xml:space="preserve"> PAGEREF _Toc199484638 \h </w:instrTex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separate"/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t>5</w:t>
            </w:r>
            <w:r w:rsidRPr="00E91E24">
              <w:rPr>
                <w:rFonts w:asciiTheme="minorHAnsi" w:hAnsiTheme="minorHAnsi" w:cstheme="minorHAnsi"/>
                <w:noProof/>
                <w:webHidden/>
                <w:szCs w:val="22"/>
              </w:rPr>
              <w:fldChar w:fldCharType="end"/>
            </w:r>
          </w:hyperlink>
        </w:p>
        <w:p w14:paraId="411183B6" w14:textId="45033ED0" w:rsidR="00E91E24" w:rsidRDefault="00E91E24">
          <w:r w:rsidRPr="00E91E24">
            <w:rPr>
              <w:rFonts w:asciiTheme="minorHAnsi" w:hAnsiTheme="minorHAnsi" w:cstheme="minorHAnsi"/>
              <w:b/>
              <w:bCs/>
              <w:szCs w:val="22"/>
              <w:lang w:val="it-IT"/>
            </w:rPr>
            <w:fldChar w:fldCharType="end"/>
          </w:r>
        </w:p>
      </w:sdtContent>
    </w:sdt>
    <w:p w14:paraId="16C246E8" w14:textId="77777777" w:rsidR="004A64B1" w:rsidRPr="00523A7E" w:rsidRDefault="004A64B1" w:rsidP="004A64B1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ind w:left="426" w:hanging="426"/>
        <w:rPr>
          <w:rFonts w:asciiTheme="minorHAnsi" w:hAnsiTheme="minorHAnsi"/>
          <w:b/>
        </w:rPr>
      </w:pPr>
    </w:p>
    <w:p w14:paraId="3626F3FF" w14:textId="77777777" w:rsidR="00A759E3" w:rsidRPr="00523A7E" w:rsidRDefault="00BF66A9">
      <w:pPr>
        <w:pStyle w:val="Sommario1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r w:rsidRPr="00523A7E">
        <w:rPr>
          <w:rFonts w:asciiTheme="minorHAnsi" w:hAnsiTheme="minorHAnsi" w:cstheme="minorHAnsi"/>
          <w:lang w:val="de-CH"/>
        </w:rPr>
        <w:fldChar w:fldCharType="begin"/>
      </w:r>
      <w:r w:rsidR="004A64B1" w:rsidRPr="00FB7500">
        <w:rPr>
          <w:rFonts w:asciiTheme="minorHAnsi" w:hAnsiTheme="minorHAnsi" w:cstheme="minorHAnsi"/>
        </w:rPr>
        <w:instrText xml:space="preserve"> TOC \o "1-2" \h \z \u </w:instrText>
      </w:r>
      <w:r w:rsidRPr="00523A7E">
        <w:rPr>
          <w:rFonts w:asciiTheme="minorHAnsi" w:hAnsiTheme="minorHAnsi" w:cstheme="minorHAnsi"/>
          <w:lang w:val="de-CH"/>
        </w:rPr>
        <w:fldChar w:fldCharType="separate"/>
      </w:r>
    </w:p>
    <w:p w14:paraId="0F6B3C94" w14:textId="77777777" w:rsidR="0050588D" w:rsidRPr="00FB7500" w:rsidRDefault="00BF66A9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line="300" w:lineRule="atLeast"/>
        <w:ind w:left="426" w:hanging="426"/>
        <w:jc w:val="center"/>
        <w:rPr>
          <w:rFonts w:asciiTheme="minorHAnsi" w:hAnsiTheme="minorHAnsi"/>
        </w:rPr>
      </w:pPr>
      <w:r w:rsidRPr="00523A7E">
        <w:rPr>
          <w:rFonts w:asciiTheme="minorHAnsi" w:hAnsiTheme="minorHAnsi" w:cstheme="minorHAnsi"/>
          <w:lang w:val="de-CH"/>
        </w:rPr>
        <w:fldChar w:fldCharType="end"/>
      </w:r>
    </w:p>
    <w:p w14:paraId="1FFFC36C" w14:textId="77777777" w:rsidR="004A64B1" w:rsidRPr="00523A7E" w:rsidRDefault="004A64B1" w:rsidP="00E72B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enter" w:pos="4652"/>
        </w:tabs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br w:type="page"/>
      </w:r>
    </w:p>
    <w:p w14:paraId="31F8CEEA" w14:textId="176F7393" w:rsidR="008C7ECE" w:rsidRPr="00523A7E" w:rsidRDefault="008C7ECE" w:rsidP="009B46C0">
      <w:pPr>
        <w:pStyle w:val="SIK-berschrift1"/>
      </w:pPr>
      <w:bookmarkStart w:id="0" w:name="_Toc199484627"/>
      <w:r>
        <w:lastRenderedPageBreak/>
        <w:t xml:space="preserve">1. </w:t>
      </w:r>
      <w:r>
        <w:tab/>
        <w:t>Oggetto dell</w:t>
      </w:r>
      <w:r w:rsidR="00BF66A9">
        <w:t>’</w:t>
      </w:r>
      <w:r>
        <w:t>acquisto</w:t>
      </w:r>
      <w:bookmarkEnd w:id="0"/>
    </w:p>
    <w:p w14:paraId="3126C831" w14:textId="1C9C2636" w:rsidR="008C7ECE" w:rsidRPr="00523A7E" w:rsidRDefault="008C7ECE" w:rsidP="009B46C0">
      <w:pPr>
        <w:pStyle w:val="SIK-Standard1"/>
      </w:pPr>
      <w:r>
        <w:rPr>
          <w:rStyle w:val="SIK-StandardZchn"/>
        </w:rPr>
        <w:t>Il beneficiario ordina presso l</w:t>
      </w:r>
      <w:r w:rsidR="00BF66A9">
        <w:rPr>
          <w:rStyle w:val="SIK-StandardZchn"/>
        </w:rPr>
        <w:t>’</w:t>
      </w:r>
      <w:r>
        <w:rPr>
          <w:rStyle w:val="SIK-StandardZchn"/>
        </w:rPr>
        <w:t>offerente</w:t>
      </w:r>
      <w:r>
        <w:t>:</w:t>
      </w:r>
    </w:p>
    <w:p w14:paraId="37DAC9D5" w14:textId="662019C9" w:rsidR="00761020" w:rsidRPr="00523A7E" w:rsidRDefault="00A77B41" w:rsidP="009B46C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 w:hanging="1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highlight w:val="yellow"/>
        </w:rPr>
        <w:tab/>
        <w:t>[</w:t>
      </w:r>
      <w:r>
        <w:rPr>
          <w:rFonts w:asciiTheme="minorHAnsi" w:hAnsiTheme="minorHAnsi"/>
          <w:i/>
          <w:highlight w:val="yellow"/>
        </w:rPr>
        <w:t>Inserire una descrizione completa dell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hardware ordinato e degli accessori necessari. In alternativa, inserire una breve sintesi che rimanda, con citazione del riferimento pertinente, a una descrizione completa e coerente indicata nell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offerta o nella richiesta d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offerta oppure a una descrizione dettagliata nell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allegato separato «Specifiche delle prestazioni contrattuali».</w:t>
      </w:r>
    </w:p>
    <w:p w14:paraId="5F7DB589" w14:textId="5267107E" w:rsidR="002B3ADA" w:rsidRPr="00523A7E" w:rsidRDefault="002B3ADA" w:rsidP="009B46C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 w:hanging="1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Se durante 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installazione delle prestazioni ordinate devono essere fornite alcune prestazioni supplementari di second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ordine (ad es. parametrizzazione / piccoli adeguamenti alle interfacce con sistemi periferici ecc.), queste devono essere indicate nel modo più completo possibile.</w:t>
      </w:r>
    </w:p>
    <w:p w14:paraId="74AA3BB5" w14:textId="3889F7F9" w:rsidR="002F271B" w:rsidRPr="00523A7E" w:rsidRDefault="00D111A0" w:rsidP="009B46C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 w:hanging="1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È necessario descrivere anche la portata dei software secondari forniti e delle relative licenze (ad es. software operativo o pacchetto Microsoft Office) o fare riferimento a un allegato o ai punti specifici della richiesta d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offerta o dell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offerta. In alternativa, è possibile stipulare un contratto separato per licenze di software (CLS 4). È necessario definire anche eventuali garanzie per le caratteristiche specifiche richieste di hardware e software oppure fare riferimento a un allegato o ai punti pertinenti della richiesta d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offerta o dell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offerta.</w:t>
      </w:r>
    </w:p>
    <w:p w14:paraId="41C18105" w14:textId="77777777" w:rsidR="00A77B41" w:rsidRPr="00523A7E" w:rsidRDefault="00761020" w:rsidP="009B46C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highlight w:val="yellow"/>
        </w:rPr>
        <w:t>Inserire, ove necessario, eventuali distinzioni rispetto a prestazioni non dovute.</w:t>
      </w:r>
      <w:r>
        <w:rPr>
          <w:rFonts w:asciiTheme="minorHAnsi" w:hAnsiTheme="minorHAnsi"/>
          <w:highlight w:val="yellow"/>
        </w:rPr>
        <w:t>]</w:t>
      </w:r>
    </w:p>
    <w:p w14:paraId="377F76CE" w14:textId="77777777" w:rsidR="008C7ECE" w:rsidRPr="00523A7E" w:rsidRDefault="008C7ECE" w:rsidP="009B46C0">
      <w:pPr>
        <w:pStyle w:val="SIK-berschrift1"/>
      </w:pPr>
      <w:bookmarkStart w:id="1" w:name="_Toc199484628"/>
      <w:r>
        <w:t xml:space="preserve">2. </w:t>
      </w:r>
      <w:r>
        <w:tab/>
        <w:t>Elementi del contratto</w:t>
      </w:r>
      <w:bookmarkEnd w:id="1"/>
    </w:p>
    <w:p w14:paraId="2FFD9C72" w14:textId="77777777" w:rsidR="008C7ECE" w:rsidRPr="00523A7E" w:rsidRDefault="008C7ECE" w:rsidP="009B46C0">
      <w:pPr>
        <w:pStyle w:val="SIK-Standard1"/>
      </w:pPr>
      <w:r>
        <w:t>Sono elementi del contratto nel seguente ordine di priorità:</w:t>
      </w:r>
    </w:p>
    <w:p w14:paraId="2F679290" w14:textId="77777777" w:rsidR="00C14831" w:rsidRPr="00523A7E" w:rsidRDefault="0024570D" w:rsidP="006838E0">
      <w:pPr>
        <w:pStyle w:val="SIK-Standard1"/>
        <w:ind w:left="1134" w:hanging="425"/>
      </w:pPr>
      <w:r>
        <w:t>a)</w:t>
      </w:r>
      <w:r>
        <w:tab/>
        <w:t>il presente documento contrattuale;</w:t>
      </w:r>
    </w:p>
    <w:p w14:paraId="336E6D4A" w14:textId="77777777" w:rsidR="00272432" w:rsidRPr="00523A7E" w:rsidRDefault="00C14831" w:rsidP="006838E0">
      <w:pPr>
        <w:pStyle w:val="SIK-Standard1"/>
        <w:ind w:left="1134" w:hanging="425"/>
      </w:pPr>
      <w:r>
        <w:t>b)</w:t>
      </w:r>
      <w:r>
        <w:tab/>
        <w:t>gli allegati di cui al numero 3 del presente documento contrattuale;</w:t>
      </w:r>
    </w:p>
    <w:p w14:paraId="2E637498" w14:textId="4DFE5224" w:rsidR="008C7ECE" w:rsidRPr="00523A7E" w:rsidRDefault="00C14831" w:rsidP="006838E0">
      <w:pPr>
        <w:pStyle w:val="SIK-Standard1"/>
        <w:ind w:left="1134" w:hanging="425"/>
      </w:pPr>
      <w:r>
        <w:t>c)</w:t>
      </w:r>
      <w:r>
        <w:tab/>
        <w:t>le Condizioni generali dell</w:t>
      </w:r>
      <w:r w:rsidR="00BF66A9">
        <w:t>’</w:t>
      </w:r>
      <w:r>
        <w:t>Amministrazione digitale Svizzera per le prestazioni TIC, edizione marzo 2025; nel seguito «CG dell</w:t>
      </w:r>
      <w:r w:rsidR="00BF66A9">
        <w:t>’</w:t>
      </w:r>
      <w:r>
        <w:t>ADS (edizione 2025)»;</w:t>
      </w:r>
    </w:p>
    <w:p w14:paraId="387CB459" w14:textId="355B7F66" w:rsidR="008C7ECE" w:rsidRPr="00523A7E" w:rsidRDefault="00C14831" w:rsidP="006838E0">
      <w:pPr>
        <w:pStyle w:val="SIK-Standard1"/>
        <w:ind w:left="1134" w:hanging="425"/>
      </w:pPr>
      <w:r>
        <w:t>d)</w:t>
      </w:r>
      <w:r>
        <w:tab/>
        <w:t>l</w:t>
      </w:r>
      <w:r w:rsidR="00BF66A9">
        <w:t>’</w:t>
      </w:r>
      <w:r>
        <w:t>offerta presentata dall</w:t>
      </w:r>
      <w:r w:rsidR="00BF66A9">
        <w:t>’</w:t>
      </w:r>
      <w:r>
        <w:t xml:space="preserve">offerente il </w:t>
      </w:r>
      <w:r>
        <w:rPr>
          <w:highlight w:val="yellow"/>
        </w:rPr>
        <w:t>[...]</w:t>
      </w:r>
      <w:r>
        <w:t>;</w:t>
      </w:r>
    </w:p>
    <w:p w14:paraId="231F9EF6" w14:textId="6E1316EA" w:rsidR="008C7ECE" w:rsidRPr="00523A7E" w:rsidRDefault="00C14831" w:rsidP="006838E0">
      <w:pPr>
        <w:pStyle w:val="SIK-Standard1"/>
        <w:ind w:left="1134" w:hanging="425"/>
      </w:pPr>
      <w:r>
        <w:t>e)</w:t>
      </w:r>
      <w:r>
        <w:tab/>
      </w:r>
      <w:r>
        <w:rPr>
          <w:highlight w:val="yellow"/>
        </w:rPr>
        <w:t>[la richiesta d</w:t>
      </w:r>
      <w:r w:rsidR="00BF66A9">
        <w:rPr>
          <w:highlight w:val="yellow"/>
        </w:rPr>
        <w:t>’</w:t>
      </w:r>
      <w:r>
        <w:rPr>
          <w:highlight w:val="yellow"/>
        </w:rPr>
        <w:t>offerta / il capitolato d</w:t>
      </w:r>
      <w:r w:rsidR="00BF66A9">
        <w:rPr>
          <w:highlight w:val="yellow"/>
        </w:rPr>
        <w:t>’</w:t>
      </w:r>
      <w:r>
        <w:rPr>
          <w:highlight w:val="yellow"/>
        </w:rPr>
        <w:t>oneri]</w:t>
      </w:r>
      <w:r>
        <w:t xml:space="preserve"> del beneficiario del </w:t>
      </w:r>
      <w:r>
        <w:rPr>
          <w:highlight w:val="yellow"/>
        </w:rPr>
        <w:t>[...]</w:t>
      </w:r>
      <w:r>
        <w:t>.</w:t>
      </w:r>
    </w:p>
    <w:p w14:paraId="0F221B09" w14:textId="09461F3B" w:rsidR="00326D44" w:rsidRPr="00523A7E" w:rsidRDefault="00326D44" w:rsidP="006838E0">
      <w:pPr>
        <w:pStyle w:val="SIK-Standard1"/>
        <w:ind w:left="1134" w:hanging="425"/>
      </w:pPr>
      <w:r>
        <w:rPr>
          <w:highlight w:val="yellow"/>
        </w:rPr>
        <w:t>[x)</w:t>
      </w:r>
      <w:r>
        <w:rPr>
          <w:highlight w:val="yellow"/>
        </w:rPr>
        <w:tab/>
      </w:r>
      <w:r>
        <w:rPr>
          <w:i/>
          <w:highlight w:val="yellow"/>
        </w:rPr>
        <w:t>Inserire eventuali ulteriori elementi rilevanti per il contratto e, in caso di necessità, modificare l</w:t>
      </w:r>
      <w:r w:rsidR="00BF66A9">
        <w:rPr>
          <w:i/>
          <w:highlight w:val="yellow"/>
        </w:rPr>
        <w:t>’</w:t>
      </w:r>
      <w:r>
        <w:rPr>
          <w:i/>
          <w:highlight w:val="yellow"/>
        </w:rPr>
        <w:t>ordine degli elementi.</w:t>
      </w:r>
      <w:r>
        <w:rPr>
          <w:highlight w:val="yellow"/>
        </w:rPr>
        <w:t>]</w:t>
      </w:r>
    </w:p>
    <w:p w14:paraId="2A73EFAE" w14:textId="53E024C3" w:rsidR="008C7ECE" w:rsidRPr="00523A7E" w:rsidRDefault="00054214" w:rsidP="009B46C0">
      <w:pPr>
        <w:pStyle w:val="SIK-Standard1"/>
      </w:pPr>
      <w:r>
        <w:t>Le parti contraenti confermano di essere in possesso degli elementi del contratto. Le condizioni generali dell</w:t>
      </w:r>
      <w:r w:rsidR="00BF66A9">
        <w:t>’</w:t>
      </w:r>
      <w:r>
        <w:t>offerente non sono applicabili.</w:t>
      </w:r>
    </w:p>
    <w:p w14:paraId="3CBE9DA9" w14:textId="77777777" w:rsidR="00A9375E" w:rsidRPr="00523A7E" w:rsidRDefault="005F0A2C" w:rsidP="009B46C0">
      <w:pPr>
        <w:pStyle w:val="SIK-berschrift1"/>
      </w:pPr>
      <w:bookmarkStart w:id="2" w:name="_Toc199484629"/>
      <w:r>
        <w:t xml:space="preserve">3. </w:t>
      </w:r>
      <w:r>
        <w:tab/>
        <w:t>Allegati</w:t>
      </w:r>
      <w:bookmarkEnd w:id="2"/>
    </w:p>
    <w:p w14:paraId="77B31FC1" w14:textId="77777777" w:rsidR="000051C8" w:rsidRPr="00523A7E" w:rsidRDefault="000051C8" w:rsidP="0037099D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after="120" w:line="300" w:lineRule="atLea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Rappresentano allegati del presente documento contrattuale:</w:t>
      </w:r>
    </w:p>
    <w:p w14:paraId="2DD61445" w14:textId="663F85E3" w:rsidR="00761020" w:rsidRPr="00523A7E" w:rsidRDefault="000051C8" w:rsidP="00E72B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[</w:t>
      </w:r>
      <w:r>
        <w:rPr>
          <w:rFonts w:asciiTheme="minorHAnsi" w:hAnsiTheme="minorHAnsi"/>
          <w:i/>
          <w:highlight w:val="yellow"/>
        </w:rPr>
        <w:t>Elencare tutti gli allegati effettivi, ad es. ...</w:t>
      </w:r>
    </w:p>
    <w:p w14:paraId="08D456F0" w14:textId="77777777" w:rsidR="000051C8" w:rsidRPr="00523A7E" w:rsidRDefault="000051C8" w:rsidP="00E72B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Allegato 1</w:t>
      </w:r>
      <w:r>
        <w:rPr>
          <w:rFonts w:asciiTheme="minorHAnsi" w:hAnsiTheme="minorHAnsi"/>
          <w:highlight w:val="yellow"/>
        </w:rPr>
        <w:tab/>
      </w:r>
      <w:r>
        <w:rPr>
          <w:rFonts w:asciiTheme="minorHAnsi" w:hAnsiTheme="minorHAnsi"/>
          <w:highlight w:val="yellow"/>
        </w:rPr>
        <w:tab/>
      </w:r>
      <w:r>
        <w:rPr>
          <w:rFonts w:asciiTheme="minorHAnsi" w:hAnsiTheme="minorHAnsi"/>
          <w:highlight w:val="yellow"/>
        </w:rPr>
        <w:tab/>
        <w:t>Specifiche delle prestazioni contrattuali</w:t>
      </w:r>
    </w:p>
    <w:p w14:paraId="5517EDAF" w14:textId="2E005226" w:rsidR="008A0334" w:rsidRPr="00523A7E" w:rsidRDefault="000051C8" w:rsidP="00E72B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Allegato 2</w:t>
      </w:r>
      <w:r>
        <w:rPr>
          <w:rFonts w:asciiTheme="minorHAnsi" w:hAnsiTheme="minorHAnsi"/>
          <w:highlight w:val="yellow"/>
        </w:rPr>
        <w:tab/>
      </w:r>
      <w:r>
        <w:rPr>
          <w:rFonts w:asciiTheme="minorHAnsi" w:hAnsiTheme="minorHAnsi"/>
          <w:highlight w:val="yellow"/>
        </w:rPr>
        <w:tab/>
      </w:r>
      <w:r>
        <w:rPr>
          <w:rFonts w:asciiTheme="minorHAnsi" w:hAnsiTheme="minorHAnsi"/>
          <w:highlight w:val="yellow"/>
        </w:rPr>
        <w:tab/>
        <w:t>Retribuzione</w:t>
      </w:r>
    </w:p>
    <w:p w14:paraId="12062AC5" w14:textId="77777777" w:rsidR="00B065E2" w:rsidRPr="00523A7E" w:rsidRDefault="00B05F95" w:rsidP="00E72B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Allegato 3</w:t>
      </w:r>
      <w:r>
        <w:rPr>
          <w:rFonts w:asciiTheme="minorHAnsi" w:hAnsiTheme="minorHAnsi"/>
          <w:highlight w:val="yellow"/>
        </w:rPr>
        <w:tab/>
      </w:r>
      <w:r>
        <w:rPr>
          <w:rFonts w:asciiTheme="minorHAnsi" w:hAnsiTheme="minorHAnsi"/>
          <w:highlight w:val="yellow"/>
        </w:rPr>
        <w:tab/>
      </w:r>
      <w:r>
        <w:rPr>
          <w:rFonts w:asciiTheme="minorHAnsi" w:hAnsiTheme="minorHAnsi"/>
          <w:highlight w:val="yellow"/>
        </w:rPr>
        <w:tab/>
        <w:t>Disposizioni relative al collaudo</w:t>
      </w:r>
    </w:p>
    <w:p w14:paraId="11A37307" w14:textId="77777777" w:rsidR="000051C8" w:rsidRPr="00523A7E" w:rsidRDefault="008A0334" w:rsidP="00E72B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  <w:highlight w:val="yellow"/>
        </w:rPr>
        <w:t>[Allegato X</w:t>
      </w:r>
      <w:r>
        <w:rPr>
          <w:rFonts w:asciiTheme="minorHAnsi" w:hAnsiTheme="minorHAnsi"/>
          <w:highlight w:val="yellow"/>
        </w:rPr>
        <w:tab/>
      </w:r>
      <w:r>
        <w:rPr>
          <w:rFonts w:asciiTheme="minorHAnsi" w:hAnsiTheme="minorHAnsi"/>
          <w:highlight w:val="yellow"/>
        </w:rPr>
        <w:tab/>
      </w:r>
      <w:r>
        <w:rPr>
          <w:rFonts w:asciiTheme="minorHAnsi" w:hAnsiTheme="minorHAnsi"/>
          <w:highlight w:val="yellow"/>
        </w:rPr>
        <w:tab/>
        <w:t>…]]</w:t>
      </w:r>
    </w:p>
    <w:p w14:paraId="46809481" w14:textId="77777777" w:rsidR="00DA2677" w:rsidRPr="00523A7E" w:rsidRDefault="005F0A2C" w:rsidP="009B46C0">
      <w:pPr>
        <w:pStyle w:val="SIK-berschrift1"/>
      </w:pPr>
      <w:bookmarkStart w:id="3" w:name="_Toc199484630"/>
      <w:r>
        <w:lastRenderedPageBreak/>
        <w:t>4.</w:t>
      </w:r>
      <w:r>
        <w:tab/>
        <w:t>Istruzione</w:t>
      </w:r>
      <w:bookmarkEnd w:id="3"/>
    </w:p>
    <w:p w14:paraId="4DCE0536" w14:textId="3A70D891" w:rsidR="00DA2677" w:rsidRPr="00523A7E" w:rsidRDefault="00DA3C03" w:rsidP="009B46C0">
      <w:pPr>
        <w:pStyle w:val="SIK-Standard1"/>
      </w:pPr>
      <w:r>
        <w:t>In applicazione del numero 11 delle CG dell</w:t>
      </w:r>
      <w:r w:rsidR="00BF66A9">
        <w:t>’</w:t>
      </w:r>
      <w:r>
        <w:t>ADS (edizione 2025), l</w:t>
      </w:r>
      <w:r w:rsidR="00BF66A9">
        <w:t>’</w:t>
      </w:r>
      <w:r>
        <w:t>offerente è tenuto a fornire le seguenti prestazioni in relazione all</w:t>
      </w:r>
      <w:r w:rsidR="00BF66A9">
        <w:t>’</w:t>
      </w:r>
      <w:r>
        <w:t>istruzione del personale:</w:t>
      </w:r>
    </w:p>
    <w:p w14:paraId="73AAB51E" w14:textId="77777777" w:rsidR="00D53F6D" w:rsidRPr="00523A7E" w:rsidRDefault="00DA2677" w:rsidP="009B46C0">
      <w:pPr>
        <w:pStyle w:val="SIK-Standard1"/>
        <w:ind w:left="709"/>
        <w:rPr>
          <w:highlight w:val="yellow"/>
        </w:rPr>
      </w:pPr>
      <w:r>
        <w:rPr>
          <w:highlight w:val="yellow"/>
        </w:rPr>
        <w:t>[</w:t>
      </w:r>
      <w:r>
        <w:rPr>
          <w:i/>
          <w:highlight w:val="yellow"/>
        </w:rPr>
        <w:t>Opz 1 (descrizione)</w:t>
      </w:r>
    </w:p>
    <w:p w14:paraId="76F32B31" w14:textId="15A9B9F2" w:rsidR="00DA2677" w:rsidRPr="00523A7E" w:rsidRDefault="00BF317E" w:rsidP="009B46C0">
      <w:pPr>
        <w:pStyle w:val="SIK-Standard1"/>
        <w:ind w:left="709"/>
        <w:rPr>
          <w:highlight w:val="yellow"/>
        </w:rPr>
      </w:pPr>
      <w:r>
        <w:rPr>
          <w:i/>
          <w:highlight w:val="yellow"/>
        </w:rPr>
        <w:t>Descrivere in dettaglio ed elencare le prestazioni in materia di istruzione o le formazioni necessarie per il personale proprio o esterno oppure per altri utenti interessati dagli oggetti dell</w:t>
      </w:r>
      <w:r w:rsidR="00BF66A9">
        <w:rPr>
          <w:i/>
          <w:highlight w:val="yellow"/>
        </w:rPr>
        <w:t>’</w:t>
      </w:r>
      <w:r>
        <w:rPr>
          <w:i/>
          <w:highlight w:val="yellow"/>
        </w:rPr>
        <w:t>acquisto. Occorre concordare se l</w:t>
      </w:r>
      <w:r w:rsidR="00BF66A9">
        <w:rPr>
          <w:i/>
          <w:highlight w:val="yellow"/>
        </w:rPr>
        <w:t>’</w:t>
      </w:r>
      <w:r>
        <w:rPr>
          <w:i/>
          <w:highlight w:val="yellow"/>
        </w:rPr>
        <w:t>offerente deve fornire materiale didattico e in quali lingue deve essere prodotto e così via.</w:t>
      </w:r>
      <w:r>
        <w:rPr>
          <w:highlight w:val="yellow"/>
        </w:rPr>
        <w:t>]</w:t>
      </w:r>
    </w:p>
    <w:p w14:paraId="69CCFB32" w14:textId="77777777" w:rsidR="00D53F6D" w:rsidRPr="00523A7E" w:rsidRDefault="00D53F6D" w:rsidP="009B46C0">
      <w:pPr>
        <w:pStyle w:val="SIK-Standard1"/>
        <w:ind w:left="709"/>
        <w:rPr>
          <w:highlight w:val="yellow"/>
        </w:rPr>
      </w:pPr>
      <w:r>
        <w:rPr>
          <w:i/>
          <w:highlight w:val="yellow"/>
        </w:rPr>
        <w:t>Opz 2 (nessuna istruzione)</w:t>
      </w:r>
    </w:p>
    <w:p w14:paraId="77CDABDD" w14:textId="77777777" w:rsidR="00D53F6D" w:rsidRPr="00523A7E" w:rsidRDefault="00D53F6D" w:rsidP="009B46C0">
      <w:pPr>
        <w:pStyle w:val="SIK-Standard1"/>
        <w:ind w:left="709"/>
        <w:rPr>
          <w:highlight w:val="yellow"/>
        </w:rPr>
      </w:pPr>
      <w:r>
        <w:rPr>
          <w:highlight w:val="yellow"/>
        </w:rPr>
        <w:t>Non è necessario istruire il personale, ma occorre fornire la documentazione adeguata agli utenti.]</w:t>
      </w:r>
    </w:p>
    <w:p w14:paraId="28474369" w14:textId="77777777" w:rsidR="009337BF" w:rsidRPr="00523A7E" w:rsidRDefault="009337BF" w:rsidP="009B46C0">
      <w:pPr>
        <w:pStyle w:val="SIK-berschrift1"/>
      </w:pPr>
      <w:bookmarkStart w:id="4" w:name="_Toc199484631"/>
      <w:r>
        <w:t>5.</w:t>
      </w:r>
      <w:r>
        <w:tab/>
        <w:t>Collaborazione del beneficiario</w:t>
      </w:r>
      <w:bookmarkEnd w:id="4"/>
    </w:p>
    <w:p w14:paraId="50F1CC04" w14:textId="16FC6ECA" w:rsidR="009337BF" w:rsidRPr="00523A7E" w:rsidRDefault="009337BF" w:rsidP="009B46C0">
      <w:pPr>
        <w:pStyle w:val="SIK-Standard1"/>
      </w:pPr>
      <w:r>
        <w:t>A complemento del numero 12.3 delle CG dell</w:t>
      </w:r>
      <w:r w:rsidR="00BF66A9">
        <w:t>’</w:t>
      </w:r>
      <w:r>
        <w:t>ADS (edizione 2025), si concordano le seguenti ulteriori attività di collaborazione del beneficiario:</w:t>
      </w:r>
    </w:p>
    <w:p w14:paraId="672C8A1F" w14:textId="77777777" w:rsidR="00BC2C37" w:rsidRPr="00523A7E" w:rsidRDefault="009337BF" w:rsidP="009B46C0">
      <w:pPr>
        <w:pStyle w:val="SIK-Standard1"/>
        <w:ind w:left="709"/>
        <w:rPr>
          <w:highlight w:val="yellow"/>
        </w:rPr>
      </w:pPr>
      <w:r>
        <w:rPr>
          <w:highlight w:val="yellow"/>
        </w:rPr>
        <w:t>[</w:t>
      </w:r>
      <w:r>
        <w:rPr>
          <w:i/>
          <w:highlight w:val="yellow"/>
        </w:rPr>
        <w:t>Opz 1 (nessuna attività)</w:t>
      </w:r>
    </w:p>
    <w:p w14:paraId="32BBAAD8" w14:textId="35FE9E46" w:rsidR="00BC2C37" w:rsidRPr="00523A7E" w:rsidRDefault="00BC2C37" w:rsidP="009B46C0">
      <w:pPr>
        <w:pStyle w:val="SIK-Standard1"/>
        <w:ind w:left="709"/>
        <w:rPr>
          <w:i/>
          <w:highlight w:val="yellow"/>
        </w:rPr>
      </w:pPr>
      <w:r>
        <w:rPr>
          <w:highlight w:val="yellow"/>
        </w:rPr>
        <w:t>Non sono previste ulteriori attività di collaborazione.</w:t>
      </w:r>
    </w:p>
    <w:p w14:paraId="6495E34E" w14:textId="040AC66A" w:rsidR="00BC2C37" w:rsidRPr="00523A7E" w:rsidRDefault="00BC2C37" w:rsidP="009B46C0">
      <w:pPr>
        <w:pStyle w:val="SIK-Standard1"/>
        <w:ind w:left="709"/>
        <w:rPr>
          <w:i/>
          <w:highlight w:val="yellow"/>
        </w:rPr>
      </w:pPr>
      <w:r>
        <w:rPr>
          <w:i/>
          <w:highlight w:val="yellow"/>
        </w:rPr>
        <w:t>Opz 2 (descrizione)</w:t>
      </w:r>
    </w:p>
    <w:p w14:paraId="653E0212" w14:textId="55CBA20D" w:rsidR="009337BF" w:rsidRPr="00523A7E" w:rsidRDefault="0005716F" w:rsidP="009B46C0">
      <w:pPr>
        <w:pStyle w:val="SIK-Standard1"/>
        <w:ind w:left="709"/>
        <w:rPr>
          <w:highlight w:val="yellow"/>
        </w:rPr>
      </w:pPr>
      <w:r>
        <w:rPr>
          <w:i/>
          <w:highlight w:val="yellow"/>
        </w:rPr>
        <w:t>Inserire tutte le attività di collaborazione necessarie. Di solito sono indicate dall</w:t>
      </w:r>
      <w:r w:rsidR="00BF66A9">
        <w:rPr>
          <w:i/>
          <w:highlight w:val="yellow"/>
        </w:rPr>
        <w:t>’</w:t>
      </w:r>
      <w:r>
        <w:rPr>
          <w:i/>
          <w:highlight w:val="yellow"/>
        </w:rPr>
        <w:t>offerente ed esaminate dal beneficiario.</w:t>
      </w:r>
      <w:r>
        <w:rPr>
          <w:highlight w:val="yellow"/>
        </w:rPr>
        <w:t>]</w:t>
      </w:r>
    </w:p>
    <w:p w14:paraId="16E26B78" w14:textId="77777777" w:rsidR="008C7ECE" w:rsidRPr="00523A7E" w:rsidRDefault="009337BF" w:rsidP="009B46C0">
      <w:pPr>
        <w:pStyle w:val="SIK-berschrift1"/>
      </w:pPr>
      <w:bookmarkStart w:id="5" w:name="_Toc199484632"/>
      <w:r>
        <w:t>6.</w:t>
      </w:r>
      <w:r>
        <w:tab/>
        <w:t>Termini</w:t>
      </w:r>
      <w:bookmarkEnd w:id="5"/>
    </w:p>
    <w:p w14:paraId="0741A8E6" w14:textId="362A0D4B" w:rsidR="008C7ECE" w:rsidRPr="00523A7E" w:rsidRDefault="00D224C7" w:rsidP="009B46C0">
      <w:pPr>
        <w:pStyle w:val="SIK-Standard1"/>
      </w:pPr>
      <w:r>
        <w:t>I seguenti termini sono vincolanti e la loro inosservanza comporta automaticamente la costituzione in mora secondo il numero 18.1 delle CG dell</w:t>
      </w:r>
      <w:r w:rsidR="00BF66A9">
        <w:t>’</w:t>
      </w:r>
      <w:r>
        <w:t>ADS (edizione 2025) e il pagamento di una pena convenzionale secondo il numero 22.3 delle CG dell</w:t>
      </w:r>
      <w:r w:rsidR="00BF66A9">
        <w:t>’</w:t>
      </w:r>
      <w:r>
        <w:t>ADS (edizione 2025):</w:t>
      </w:r>
    </w:p>
    <w:p w14:paraId="7CF92BE9" w14:textId="77777777" w:rsidR="00F17F02" w:rsidRPr="00523A7E" w:rsidRDefault="00D224C7" w:rsidP="009B46C0">
      <w:pPr>
        <w:pStyle w:val="SIK-Standard1"/>
        <w:ind w:left="709"/>
        <w:rPr>
          <w:highlight w:val="yellow"/>
        </w:rPr>
      </w:pPr>
      <w:r>
        <w:rPr>
          <w:highlight w:val="yellow"/>
        </w:rPr>
        <w:t>[</w:t>
      </w:r>
      <w:r>
        <w:rPr>
          <w:i/>
          <w:highlight w:val="yellow"/>
        </w:rPr>
        <w:t>Elencare imperativamente tutti i termini fissati, ad es. ...</w:t>
      </w:r>
    </w:p>
    <w:p w14:paraId="7E1677DC" w14:textId="4D1F5EEC" w:rsidR="00D224C7" w:rsidRPr="00523A7E" w:rsidRDefault="0018517D" w:rsidP="009B46C0">
      <w:pPr>
        <w:pStyle w:val="SIK-Standard1"/>
        <w:ind w:left="709"/>
        <w:rPr>
          <w:highlight w:val="yellow"/>
        </w:rPr>
      </w:pPr>
      <w:r>
        <w:rPr>
          <w:highlight w:val="yellow"/>
        </w:rPr>
        <w:t>Termine di consegna e di installazione 1</w:t>
      </w:r>
      <w:r>
        <w:rPr>
          <w:highlight w:val="yellow"/>
        </w:rPr>
        <w:tab/>
      </w:r>
      <w:r>
        <w:rPr>
          <w:i/>
          <w:highlight w:val="yellow"/>
        </w:rPr>
        <w:t>Designazione dell</w:t>
      </w:r>
      <w:r w:rsidR="00BF66A9">
        <w:rPr>
          <w:i/>
          <w:highlight w:val="yellow"/>
        </w:rPr>
        <w:t>’</w:t>
      </w:r>
      <w:r>
        <w:rPr>
          <w:i/>
          <w:highlight w:val="yellow"/>
        </w:rPr>
        <w:t>oggetto di acquisto a)</w:t>
      </w:r>
      <w:r>
        <w:rPr>
          <w:highlight w:val="yellow"/>
        </w:rPr>
        <w:t>... entro ...</w:t>
      </w:r>
    </w:p>
    <w:p w14:paraId="3F013A9E" w14:textId="7A5C3324" w:rsidR="00D224C7" w:rsidRPr="00523A7E" w:rsidRDefault="00853A73" w:rsidP="009B46C0">
      <w:pPr>
        <w:pStyle w:val="SIK-Standard1"/>
        <w:ind w:left="709"/>
        <w:rPr>
          <w:highlight w:val="yellow"/>
        </w:rPr>
      </w:pPr>
      <w:r>
        <w:rPr>
          <w:highlight w:val="yellow"/>
        </w:rPr>
        <w:t>Termine di consegna e di installazione 2</w:t>
      </w:r>
      <w:r>
        <w:rPr>
          <w:highlight w:val="yellow"/>
        </w:rPr>
        <w:tab/>
      </w:r>
      <w:r>
        <w:rPr>
          <w:i/>
          <w:highlight w:val="yellow"/>
        </w:rPr>
        <w:t>Designazione dell</w:t>
      </w:r>
      <w:r w:rsidR="00BF66A9">
        <w:rPr>
          <w:i/>
          <w:highlight w:val="yellow"/>
        </w:rPr>
        <w:t>’</w:t>
      </w:r>
      <w:r>
        <w:rPr>
          <w:i/>
          <w:highlight w:val="yellow"/>
        </w:rPr>
        <w:t>oggetto di acquisto b)</w:t>
      </w:r>
      <w:r>
        <w:rPr>
          <w:highlight w:val="yellow"/>
        </w:rPr>
        <w:t>... entro ...</w:t>
      </w:r>
    </w:p>
    <w:p w14:paraId="2D329771" w14:textId="2B063A0D" w:rsidR="00D224C7" w:rsidRPr="00523A7E" w:rsidRDefault="00853A73" w:rsidP="009B46C0">
      <w:pPr>
        <w:pStyle w:val="SIK-Standard1"/>
        <w:ind w:left="709"/>
      </w:pPr>
      <w:r>
        <w:rPr>
          <w:highlight w:val="yellow"/>
        </w:rPr>
        <w:t>Termine X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 w:rsidR="00FB7500">
        <w:rPr>
          <w:highlight w:val="yellow"/>
        </w:rPr>
        <w:tab/>
      </w:r>
      <w:r>
        <w:rPr>
          <w:i/>
          <w:highlight w:val="yellow"/>
        </w:rPr>
        <w:t>Designazione della prestazione x)</w:t>
      </w:r>
      <w:r>
        <w:rPr>
          <w:highlight w:val="yellow"/>
        </w:rPr>
        <w:t>... entro …]</w:t>
      </w:r>
    </w:p>
    <w:p w14:paraId="08E88DF1" w14:textId="77777777" w:rsidR="00D224C7" w:rsidRPr="00523A7E" w:rsidRDefault="008C7ECE" w:rsidP="009B46C0">
      <w:pPr>
        <w:pStyle w:val="SIK-Standard1"/>
      </w:pPr>
      <w:r>
        <w:t>Si concordano inoltre i seguenti termini:</w:t>
      </w:r>
    </w:p>
    <w:p w14:paraId="5C99F964" w14:textId="77777777" w:rsidR="00E75DAF" w:rsidRPr="00523A7E" w:rsidRDefault="00E75DAF" w:rsidP="009B46C0">
      <w:pPr>
        <w:pStyle w:val="SIK-Standard1"/>
        <w:ind w:left="709"/>
        <w:rPr>
          <w:highlight w:val="yellow"/>
        </w:rPr>
      </w:pPr>
      <w:r>
        <w:rPr>
          <w:highlight w:val="yellow"/>
        </w:rPr>
        <w:t>[</w:t>
      </w:r>
      <w:r>
        <w:rPr>
          <w:i/>
          <w:highlight w:val="yellow"/>
        </w:rPr>
        <w:t>Opz 1 (elenco)</w:t>
      </w:r>
    </w:p>
    <w:p w14:paraId="1A015CEE" w14:textId="2C6A81F6" w:rsidR="00E75DAF" w:rsidRPr="00523A7E" w:rsidRDefault="00E75DAF" w:rsidP="009B46C0">
      <w:pPr>
        <w:pStyle w:val="SIK-Standard1"/>
        <w:ind w:left="709"/>
        <w:rPr>
          <w:highlight w:val="yellow"/>
        </w:rPr>
      </w:pPr>
      <w:r>
        <w:rPr>
          <w:highlight w:val="yellow"/>
        </w:rPr>
        <w:t>Termine 1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i/>
          <w:highlight w:val="yellow"/>
        </w:rPr>
        <w:t>Descrizione</w:t>
      </w:r>
      <w:r>
        <w:rPr>
          <w:highlight w:val="yellow"/>
        </w:rPr>
        <w:t xml:space="preserve"> … entro ...</w:t>
      </w:r>
    </w:p>
    <w:p w14:paraId="4156C3A5" w14:textId="0D088FB7" w:rsidR="00E75DAF" w:rsidRPr="00523A7E" w:rsidRDefault="00E75DAF" w:rsidP="009B46C0">
      <w:pPr>
        <w:pStyle w:val="SIK-Standard1"/>
        <w:ind w:left="709"/>
        <w:rPr>
          <w:highlight w:val="yellow"/>
        </w:rPr>
      </w:pPr>
      <w:r>
        <w:rPr>
          <w:highlight w:val="yellow"/>
        </w:rPr>
        <w:t>Termine X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i/>
          <w:highlight w:val="yellow"/>
        </w:rPr>
        <w:t>Descrizione</w:t>
      </w:r>
      <w:r>
        <w:rPr>
          <w:highlight w:val="yellow"/>
        </w:rPr>
        <w:t xml:space="preserve"> … entro ...</w:t>
      </w:r>
    </w:p>
    <w:p w14:paraId="389C58B9" w14:textId="77777777" w:rsidR="00E75DAF" w:rsidRPr="00523A7E" w:rsidRDefault="00E75DAF" w:rsidP="009B46C0">
      <w:pPr>
        <w:pStyle w:val="SIK-Standard1"/>
        <w:ind w:left="709"/>
        <w:rPr>
          <w:i/>
          <w:highlight w:val="yellow"/>
        </w:rPr>
      </w:pPr>
      <w:r>
        <w:rPr>
          <w:i/>
          <w:highlight w:val="yellow"/>
        </w:rPr>
        <w:t>Opz 2 (nessun termine)</w:t>
      </w:r>
    </w:p>
    <w:p w14:paraId="61048B7E" w14:textId="77777777" w:rsidR="00D224C7" w:rsidRPr="00523A7E" w:rsidRDefault="00E75DAF" w:rsidP="009B46C0">
      <w:pPr>
        <w:pStyle w:val="SIK-Standard1"/>
        <w:ind w:left="709"/>
        <w:rPr>
          <w:highlight w:val="yellow"/>
        </w:rPr>
      </w:pPr>
      <w:r>
        <w:rPr>
          <w:highlight w:val="yellow"/>
        </w:rPr>
        <w:t>Non sono previsti ulteriori termini.]</w:t>
      </w:r>
    </w:p>
    <w:p w14:paraId="06685C42" w14:textId="77777777" w:rsidR="008C7ECE" w:rsidRPr="00523A7E" w:rsidRDefault="009337BF" w:rsidP="009B46C0">
      <w:pPr>
        <w:pStyle w:val="SIK-berschrift1"/>
      </w:pPr>
      <w:bookmarkStart w:id="6" w:name="_Toc199484633"/>
      <w:r>
        <w:lastRenderedPageBreak/>
        <w:t>7.</w:t>
      </w:r>
      <w:r>
        <w:tab/>
        <w:t>Retribuzione</w:t>
      </w:r>
      <w:bookmarkEnd w:id="6"/>
    </w:p>
    <w:p w14:paraId="6CA810A3" w14:textId="7EB57455" w:rsidR="008C7ECE" w:rsidRPr="00523A7E" w:rsidRDefault="00687E11" w:rsidP="009B46C0">
      <w:pPr>
        <w:pStyle w:val="SIK-Standard1"/>
      </w:pPr>
      <w:r>
        <w:t>In applicazione del numero 13.1 delle CG dell</w:t>
      </w:r>
      <w:r w:rsidR="00BF66A9">
        <w:t>’</w:t>
      </w:r>
      <w:r>
        <w:t>ADS (edizione 2025), le parti contraenti concordano, per le prestazioni contrattuali dovute dall</w:t>
      </w:r>
      <w:r w:rsidR="00BF66A9">
        <w:t>’</w:t>
      </w:r>
      <w:r>
        <w:t xml:space="preserve">offerente, una retribuzione a un prezzo fisso di </w:t>
      </w:r>
      <w:r>
        <w:rPr>
          <w:b/>
        </w:rPr>
        <w:t>fr.</w:t>
      </w:r>
      <w:r>
        <w:t> </w:t>
      </w:r>
      <w:r>
        <w:rPr>
          <w:b/>
          <w:highlight w:val="yellow"/>
        </w:rPr>
        <w:t>[...]</w:t>
      </w:r>
      <w:r>
        <w:t>.</w:t>
      </w:r>
    </w:p>
    <w:p w14:paraId="0693340E" w14:textId="77777777" w:rsidR="00BF317E" w:rsidRPr="00523A7E" w:rsidRDefault="0065399D" w:rsidP="009B46C0">
      <w:pPr>
        <w:pStyle w:val="SIK-Standard1"/>
        <w:rPr>
          <w:highlight w:val="yellow"/>
        </w:rPr>
      </w:pPr>
      <w:r>
        <w:rPr>
          <w:highlight w:val="yellow"/>
        </w:rPr>
        <w:t>[</w:t>
      </w:r>
      <w:r>
        <w:rPr>
          <w:i/>
          <w:highlight w:val="yellow"/>
        </w:rPr>
        <w:t>Opz (Descrizione dettagliata per ciascuna voce)</w:t>
      </w:r>
    </w:p>
    <w:p w14:paraId="5840B3DB" w14:textId="4320E522" w:rsidR="0065399D" w:rsidRPr="00523A7E" w:rsidRDefault="0065399D" w:rsidP="009B46C0">
      <w:pPr>
        <w:pStyle w:val="SIK-Standard1"/>
        <w:rPr>
          <w:highlight w:val="yellow"/>
        </w:rPr>
      </w:pPr>
      <w:r>
        <w:rPr>
          <w:highlight w:val="yellow"/>
        </w:rPr>
        <w:t>L</w:t>
      </w:r>
      <w:r w:rsidR="00BF66A9">
        <w:rPr>
          <w:highlight w:val="yellow"/>
        </w:rPr>
        <w:t>’</w:t>
      </w:r>
      <w:r>
        <w:rPr>
          <w:highlight w:val="yellow"/>
        </w:rPr>
        <w:t>importo si compone come segue:</w:t>
      </w:r>
    </w:p>
    <w:p w14:paraId="4540D04B" w14:textId="77777777" w:rsidR="0065399D" w:rsidRPr="00523A7E" w:rsidRDefault="0065399D" w:rsidP="00A96F6E">
      <w:pPr>
        <w:pStyle w:val="SIK-Standard1"/>
        <w:ind w:left="709"/>
        <w:rPr>
          <w:highlight w:val="yellow"/>
        </w:rPr>
      </w:pPr>
      <w:r>
        <w:rPr>
          <w:highlight w:val="yellow"/>
        </w:rPr>
        <w:t xml:space="preserve">a) </w:t>
      </w:r>
      <w:r>
        <w:rPr>
          <w:i/>
          <w:highlight w:val="yellow"/>
        </w:rPr>
        <w:t>Descrizione voce 1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fr. </w:t>
      </w:r>
      <w:r>
        <w:rPr>
          <w:highlight w:val="yellow"/>
        </w:rPr>
        <w:tab/>
        <w:t>…</w:t>
      </w:r>
    </w:p>
    <w:p w14:paraId="6283B120" w14:textId="77777777" w:rsidR="0065399D" w:rsidRPr="00523A7E" w:rsidRDefault="0065399D" w:rsidP="00A96F6E">
      <w:pPr>
        <w:pStyle w:val="SIK-Standard1"/>
        <w:ind w:left="709"/>
        <w:rPr>
          <w:highlight w:val="yellow"/>
        </w:rPr>
      </w:pPr>
      <w:r>
        <w:rPr>
          <w:highlight w:val="yellow"/>
        </w:rPr>
        <w:t xml:space="preserve">b) </w:t>
      </w:r>
      <w:r>
        <w:rPr>
          <w:i/>
          <w:highlight w:val="yellow"/>
        </w:rPr>
        <w:t>Descrizione voce 2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fr. </w:t>
      </w:r>
      <w:r>
        <w:rPr>
          <w:highlight w:val="yellow"/>
        </w:rPr>
        <w:tab/>
        <w:t>…</w:t>
      </w:r>
    </w:p>
    <w:p w14:paraId="712EF755" w14:textId="77777777" w:rsidR="0065399D" w:rsidRPr="00523A7E" w:rsidRDefault="0065399D" w:rsidP="00A96F6E">
      <w:pPr>
        <w:pStyle w:val="SIK-Standard1"/>
        <w:ind w:left="709"/>
        <w:rPr>
          <w:highlight w:val="yellow"/>
        </w:rPr>
      </w:pPr>
      <w:r>
        <w:rPr>
          <w:highlight w:val="yellow"/>
        </w:rPr>
        <w:t xml:space="preserve">c) </w:t>
      </w:r>
      <w:r>
        <w:rPr>
          <w:i/>
          <w:highlight w:val="yellow"/>
        </w:rPr>
        <w:t>Descrizione voce 3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fr. </w:t>
      </w:r>
      <w:r>
        <w:rPr>
          <w:highlight w:val="yellow"/>
        </w:rPr>
        <w:tab/>
        <w:t>…</w:t>
      </w:r>
    </w:p>
    <w:p w14:paraId="31D3687F" w14:textId="77777777" w:rsidR="0065399D" w:rsidRPr="00523A7E" w:rsidRDefault="0065399D" w:rsidP="00A96F6E">
      <w:pPr>
        <w:pStyle w:val="SIK-Standard1"/>
        <w:ind w:left="709"/>
        <w:rPr>
          <w:highlight w:val="yellow"/>
        </w:rPr>
      </w:pPr>
      <w:r>
        <w:rPr>
          <w:highlight w:val="yellow"/>
        </w:rPr>
        <w:t xml:space="preserve">x) </w:t>
      </w:r>
      <w:r>
        <w:rPr>
          <w:i/>
          <w:highlight w:val="yellow"/>
        </w:rPr>
        <w:t>Descrizione voce X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fr. </w:t>
      </w:r>
      <w:r>
        <w:rPr>
          <w:highlight w:val="yellow"/>
        </w:rPr>
        <w:tab/>
        <w:t>…</w:t>
      </w:r>
    </w:p>
    <w:p w14:paraId="165CAA47" w14:textId="1C7E0EB0" w:rsidR="00BD28F1" w:rsidRPr="00523A7E" w:rsidRDefault="00BD28F1" w:rsidP="00A96F6E">
      <w:pPr>
        <w:pStyle w:val="SIK-Standard1"/>
        <w:ind w:left="709"/>
        <w:rPr>
          <w:b/>
          <w:highlight w:val="yellow"/>
        </w:rPr>
      </w:pPr>
      <w:r>
        <w:rPr>
          <w:b/>
          <w:highlight w:val="yellow"/>
        </w:rPr>
        <w:t>Prezzo fisso</w:t>
      </w:r>
      <w:r>
        <w:rPr>
          <w:b/>
          <w:highlight w:val="yellow"/>
        </w:rPr>
        <w:tab/>
      </w:r>
      <w:r>
        <w:rPr>
          <w:b/>
          <w:highlight w:val="yellow"/>
        </w:rPr>
        <w:tab/>
      </w:r>
      <w:r>
        <w:rPr>
          <w:b/>
          <w:highlight w:val="yellow"/>
        </w:rPr>
        <w:tab/>
      </w:r>
      <w:r>
        <w:rPr>
          <w:b/>
          <w:highlight w:val="yellow"/>
        </w:rPr>
        <w:tab/>
      </w:r>
      <w:r>
        <w:rPr>
          <w:b/>
          <w:highlight w:val="yellow"/>
        </w:rPr>
        <w:tab/>
      </w:r>
      <w:r>
        <w:rPr>
          <w:b/>
          <w:highlight w:val="yellow"/>
        </w:rPr>
        <w:tab/>
      </w:r>
      <w:r>
        <w:rPr>
          <w:b/>
          <w:highlight w:val="yellow"/>
        </w:rPr>
        <w:tab/>
        <w:t>fr. </w:t>
      </w:r>
      <w:r>
        <w:rPr>
          <w:b/>
          <w:highlight w:val="yellow"/>
        </w:rPr>
        <w:tab/>
        <w:t>…]</w:t>
      </w:r>
    </w:p>
    <w:p w14:paraId="7BFD2CF9" w14:textId="749D72A2" w:rsidR="008C7ECE" w:rsidRPr="00523A7E" w:rsidRDefault="008C7ECE" w:rsidP="009B46C0">
      <w:pPr>
        <w:pStyle w:val="SIK-Standard1"/>
      </w:pPr>
      <w:r>
        <w:t>Tutte le spese e tutti i tributi (IVA e tassa di smaltimento anticipata incl.) sono incluse nella retribuzione concordata, in conformità al numero 13.3 delle CG dell</w:t>
      </w:r>
      <w:r w:rsidR="00BF66A9">
        <w:t>’</w:t>
      </w:r>
      <w:r>
        <w:t>ADS (edizione 2025).</w:t>
      </w:r>
    </w:p>
    <w:p w14:paraId="3AB33BBA" w14:textId="77777777" w:rsidR="008C7ECE" w:rsidRPr="00523A7E" w:rsidRDefault="009337BF" w:rsidP="00A96F6E">
      <w:pPr>
        <w:pStyle w:val="SIK-berschrift1"/>
      </w:pPr>
      <w:bookmarkStart w:id="7" w:name="_Toc199484634"/>
      <w:r>
        <w:t>8.</w:t>
      </w:r>
      <w:r>
        <w:tab/>
        <w:t>Indirizzo di fatturazione</w:t>
      </w:r>
      <w:bookmarkEnd w:id="7"/>
    </w:p>
    <w:p w14:paraId="09071E5F" w14:textId="77777777" w:rsidR="008C7ECE" w:rsidRPr="00523A7E" w:rsidRDefault="008C7ECE" w:rsidP="00A96F6E">
      <w:pPr>
        <w:pStyle w:val="SIK-Standard1"/>
      </w:pPr>
      <w:r>
        <w:t>Le fatture relative al presente contratto vanno trasmesse a:</w:t>
      </w:r>
    </w:p>
    <w:p w14:paraId="7124E725" w14:textId="5803B941" w:rsidR="007B104D" w:rsidRPr="00523A7E" w:rsidRDefault="007B104D" w:rsidP="00A96F6E">
      <w:pPr>
        <w:pStyle w:val="SIK-Standard1"/>
        <w:ind w:left="709"/>
      </w:pPr>
      <w:r>
        <w:rPr>
          <w:highlight w:val="yellow"/>
        </w:rPr>
        <w:t>[</w:t>
      </w:r>
      <w:r>
        <w:rPr>
          <w:i/>
          <w:highlight w:val="yellow"/>
        </w:rPr>
        <w:t>Inserire l</w:t>
      </w:r>
      <w:r w:rsidR="00BF66A9">
        <w:rPr>
          <w:i/>
          <w:highlight w:val="yellow"/>
        </w:rPr>
        <w:t>’</w:t>
      </w:r>
      <w:r>
        <w:rPr>
          <w:i/>
          <w:highlight w:val="yellow"/>
        </w:rPr>
        <w:t>indirizzo di fatturazione del beneficiario</w:t>
      </w:r>
      <w:r>
        <w:rPr>
          <w:highlight w:val="yellow"/>
        </w:rPr>
        <w:t>]</w:t>
      </w:r>
    </w:p>
    <w:p w14:paraId="2FC45EF8" w14:textId="77777777" w:rsidR="00DA3C03" w:rsidRPr="00523A7E" w:rsidRDefault="009337BF" w:rsidP="00A96F6E">
      <w:pPr>
        <w:pStyle w:val="SIK-berschrift1"/>
      </w:pPr>
      <w:bookmarkStart w:id="8" w:name="_Toc199484635"/>
      <w:r>
        <w:t>9.</w:t>
      </w:r>
      <w:r>
        <w:tab/>
        <w:t>Luogo di esecuzione</w:t>
      </w:r>
      <w:bookmarkEnd w:id="8"/>
    </w:p>
    <w:p w14:paraId="1B7C128F" w14:textId="3B78B1AE" w:rsidR="00DA3C03" w:rsidRPr="00523A7E" w:rsidRDefault="00DA3C03" w:rsidP="00A96F6E">
      <w:pPr>
        <w:pStyle w:val="SIK-Standard1"/>
      </w:pPr>
      <w:r>
        <w:t>In applicazione del numero 6.1 delle CG dell</w:t>
      </w:r>
      <w:r w:rsidR="00BF66A9">
        <w:t>’</w:t>
      </w:r>
      <w:r>
        <w:t>ADS (edizione 2025), le parti contraenti convengono che l</w:t>
      </w:r>
      <w:r w:rsidR="00BF66A9">
        <w:t>’</w:t>
      </w:r>
      <w:r>
        <w:t>installazione o, se questa non è esplicitamente richiesta, la fornitura degli oggetti dell</w:t>
      </w:r>
      <w:r w:rsidR="00BF66A9">
        <w:t>’</w:t>
      </w:r>
      <w:r>
        <w:t>acquisto e delle altre prestazioni viene eseguita dall</w:t>
      </w:r>
      <w:r w:rsidR="00BF66A9">
        <w:t>’</w:t>
      </w:r>
      <w:r>
        <w:t>offerente al luogo indicato qui di seguito:</w:t>
      </w:r>
    </w:p>
    <w:p w14:paraId="01E0AFDA" w14:textId="77777777" w:rsidR="00DA3C03" w:rsidRPr="00523A7E" w:rsidRDefault="00FC5550" w:rsidP="00A96F6E">
      <w:pPr>
        <w:pStyle w:val="Paragrafoelenco"/>
        <w:numPr>
          <w:ilvl w:val="0"/>
          <w:numId w:val="1"/>
        </w:num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highlight w:val="yellow"/>
        </w:rPr>
        <w:t xml:space="preserve">[Sede del beneficiario, </w:t>
      </w:r>
      <w:r>
        <w:rPr>
          <w:rFonts w:asciiTheme="minorHAnsi" w:hAnsiTheme="minorHAnsi"/>
          <w:i/>
          <w:highlight w:val="yellow"/>
        </w:rPr>
        <w:t>Inserire indirizzo</w:t>
      </w:r>
      <w:r>
        <w:rPr>
          <w:rFonts w:asciiTheme="minorHAnsi" w:hAnsiTheme="minorHAnsi"/>
          <w:highlight w:val="yellow"/>
        </w:rPr>
        <w:t>]</w:t>
      </w:r>
    </w:p>
    <w:p w14:paraId="23C6DEA4" w14:textId="77777777" w:rsidR="00DA3C03" w:rsidRPr="00523A7E" w:rsidRDefault="00DA3C03" w:rsidP="00A96F6E">
      <w:pPr>
        <w:pStyle w:val="SIK-Standard1"/>
        <w:ind w:left="709"/>
        <w:rPr>
          <w:i/>
          <w:highlight w:val="yellow"/>
        </w:rPr>
      </w:pPr>
      <w:r>
        <w:rPr>
          <w:i/>
          <w:highlight w:val="yellow"/>
        </w:rPr>
        <w:t>[Opz (ulteriori luoghi di esecuzione)</w:t>
      </w:r>
    </w:p>
    <w:p w14:paraId="1F580602" w14:textId="6B8A004E" w:rsidR="00DA3C03" w:rsidRPr="00523A7E" w:rsidRDefault="00DA3C03" w:rsidP="00A96F6E">
      <w:pPr>
        <w:pStyle w:val="Paragrafoelenco"/>
        <w:numPr>
          <w:ilvl w:val="0"/>
          <w:numId w:val="1"/>
        </w:num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1066" w:hanging="357"/>
        <w:rPr>
          <w:rFonts w:asciiTheme="minorHAnsi" w:hAnsiTheme="minorHAnsi"/>
        </w:rPr>
      </w:pPr>
      <w:r>
        <w:rPr>
          <w:rFonts w:asciiTheme="minorHAnsi" w:hAnsiTheme="minorHAnsi"/>
          <w:highlight w:val="yellow"/>
        </w:rPr>
        <w:t>Per l</w:t>
      </w:r>
      <w:r w:rsidR="00BF66A9">
        <w:rPr>
          <w:rFonts w:asciiTheme="minorHAnsi" w:hAnsiTheme="minorHAnsi"/>
          <w:highlight w:val="yellow"/>
        </w:rPr>
        <w:t>’</w:t>
      </w:r>
      <w:r>
        <w:rPr>
          <w:rFonts w:asciiTheme="minorHAnsi" w:hAnsiTheme="minorHAnsi"/>
          <w:highlight w:val="yellow"/>
        </w:rPr>
        <w:t xml:space="preserve">esecuzione delle seguenti prestazioni contrattuali viene concordato un luogo a parte: </w:t>
      </w:r>
      <w:r>
        <w:rPr>
          <w:rFonts w:asciiTheme="minorHAnsi" w:hAnsiTheme="minorHAnsi"/>
          <w:i/>
          <w:highlight w:val="yellow"/>
        </w:rPr>
        <w:t>Definire, se necessario, ulteriori luoghi di esecuzione per ciascun oggetto dell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acquisto / ciascuna prestazione relativa all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istruzione del personale / ciascun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altra prestazione e differenziarli.</w:t>
      </w:r>
    </w:p>
    <w:p w14:paraId="0EEB4FB3" w14:textId="77777777" w:rsidR="00541381" w:rsidRPr="00523A7E" w:rsidRDefault="009337BF" w:rsidP="00541381">
      <w:pPr>
        <w:pStyle w:val="SIK-berschrift1"/>
      </w:pPr>
      <w:bookmarkStart w:id="9" w:name="_Toc199484636"/>
      <w:r>
        <w:t>10.</w:t>
      </w:r>
      <w:r>
        <w:tab/>
        <w:t>Disposizioni relative al collaudo</w:t>
      </w:r>
      <w:bookmarkEnd w:id="9"/>
    </w:p>
    <w:p w14:paraId="745D38C0" w14:textId="6F094A80" w:rsidR="00541381" w:rsidRPr="00523A7E" w:rsidRDefault="00541381" w:rsidP="00541381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426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</w:rPr>
        <w:t>In applicazione del numero 28.2 delle CG dell</w:t>
      </w:r>
      <w:r w:rsidR="00BF66A9">
        <w:rPr>
          <w:rFonts w:asciiTheme="minorHAnsi" w:hAnsiTheme="minorHAnsi"/>
        </w:rPr>
        <w:t>’</w:t>
      </w:r>
      <w:r>
        <w:rPr>
          <w:rFonts w:asciiTheme="minorHAnsi" w:hAnsiTheme="minorHAnsi"/>
        </w:rPr>
        <w:t>ADS (edizione 2025), le parti contraenti concordano le seguenti disposizioni relative al collaudo:</w:t>
      </w:r>
    </w:p>
    <w:p w14:paraId="37571CD4" w14:textId="77777777" w:rsidR="00541381" w:rsidRPr="00523A7E" w:rsidRDefault="00541381" w:rsidP="00541381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[</w:t>
      </w:r>
      <w:r>
        <w:rPr>
          <w:rFonts w:asciiTheme="minorHAnsi" w:hAnsiTheme="minorHAnsi"/>
          <w:i/>
          <w:highlight w:val="yellow"/>
        </w:rPr>
        <w:t>Opz 1 (elenco delle disposizioni nel documento contrattuale)</w:t>
      </w:r>
    </w:p>
    <w:p w14:paraId="23F9CD41" w14:textId="77777777" w:rsidR="00541381" w:rsidRPr="00523A7E" w:rsidRDefault="00541381" w:rsidP="00541381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i/>
          <w:highlight w:val="yellow"/>
        </w:rPr>
        <w:t>Definire e inserire almeno i termini del collaudo, le tempistiche per il controllo comune, la procedura di collaudo, i criteri di collaudo come ad esempio le funzionalità, la disponibilità, le caratteristiche della prestazione, la qualifica dei difetti e gli obblighi della collaborazione del beneficiario.</w:t>
      </w:r>
    </w:p>
    <w:p w14:paraId="41440118" w14:textId="77777777" w:rsidR="00541381" w:rsidRPr="00523A7E" w:rsidRDefault="00541381" w:rsidP="00541381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i/>
          <w:highlight w:val="yellow"/>
        </w:rPr>
        <w:t>Opz 2</w:t>
      </w:r>
      <w:r>
        <w:rPr>
          <w:rFonts w:asciiTheme="minorHAnsi" w:hAnsiTheme="minorHAnsi"/>
          <w:highlight w:val="yellow"/>
        </w:rPr>
        <w:t xml:space="preserve"> (disposizioni in allegato)</w:t>
      </w:r>
    </w:p>
    <w:p w14:paraId="68EABE52" w14:textId="77777777" w:rsidR="00541381" w:rsidRPr="00523A7E" w:rsidRDefault="00541381" w:rsidP="00541381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 w:hanging="6"/>
        <w:jc w:val="both"/>
        <w:rPr>
          <w:rFonts w:asciiTheme="minorHAnsi" w:hAnsiTheme="minorHAnsi"/>
        </w:rPr>
      </w:pPr>
      <w:r>
        <w:rPr>
          <w:rFonts w:asciiTheme="minorHAnsi" w:hAnsiTheme="minorHAnsi"/>
          <w:highlight w:val="yellow"/>
        </w:rPr>
        <w:lastRenderedPageBreak/>
        <w:t>Le disposizioni relative al collaudo sono stabilite nel pertinente allegato a parte.]</w:t>
      </w:r>
    </w:p>
    <w:p w14:paraId="1094505F" w14:textId="77777777" w:rsidR="008C7ECE" w:rsidRPr="00523A7E" w:rsidRDefault="006538D1" w:rsidP="00A96F6E">
      <w:pPr>
        <w:pStyle w:val="SIK-berschrift1"/>
      </w:pPr>
      <w:bookmarkStart w:id="10" w:name="_Toc199484637"/>
      <w:r>
        <w:t>11</w:t>
      </w:r>
      <w:r>
        <w:tab/>
        <w:t>Accordi particolari</w:t>
      </w:r>
      <w:bookmarkEnd w:id="10"/>
    </w:p>
    <w:p w14:paraId="24DBF44D" w14:textId="7A3556C1" w:rsidR="00DA3C03" w:rsidRPr="00523A7E" w:rsidRDefault="00DA3C03" w:rsidP="00A96F6E">
      <w:pPr>
        <w:pStyle w:val="SIK-Standard1"/>
      </w:pPr>
      <w:r>
        <w:t>In deroga alle CG dell</w:t>
      </w:r>
      <w:r w:rsidR="00BF66A9">
        <w:t>’</w:t>
      </w:r>
      <w:r>
        <w:t>ADS (edizione 2025) o a complemento di quanto ivi previsto, si applica anche quanto segue:</w:t>
      </w:r>
    </w:p>
    <w:p w14:paraId="2537F2C2" w14:textId="77777777" w:rsidR="00E75DAF" w:rsidRPr="00523A7E" w:rsidRDefault="00117E97" w:rsidP="00A96F6E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[</w:t>
      </w:r>
      <w:r>
        <w:rPr>
          <w:rFonts w:asciiTheme="minorHAnsi" w:hAnsiTheme="minorHAnsi"/>
          <w:i/>
          <w:highlight w:val="yellow"/>
        </w:rPr>
        <w:t>Opz 1 (nessuna attività)</w:t>
      </w:r>
    </w:p>
    <w:p w14:paraId="6E68CC93" w14:textId="436426D4" w:rsidR="00E75DAF" w:rsidRPr="00523A7E" w:rsidRDefault="004E6CB2" w:rsidP="00A96F6E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Non sono necessarie ulteriori deroghe o integrazioni.</w:t>
      </w:r>
    </w:p>
    <w:p w14:paraId="457D03E9" w14:textId="77777777" w:rsidR="00BC2C37" w:rsidRPr="00523A7E" w:rsidRDefault="00BC2C37" w:rsidP="00A96F6E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Opz 2 (descrizione)</w:t>
      </w:r>
    </w:p>
    <w:p w14:paraId="680BD9AF" w14:textId="321047DC" w:rsidR="00F67196" w:rsidRPr="00523A7E" w:rsidRDefault="00B02596" w:rsidP="00A96F6E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Elencare tutte le disposizioni che derogano o integrano le CG dell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ADS (edizione 2025). Tali clausole richiedono un esame particolare e vanno adeguate in base alle restanti clausole contrattuali. Le clausole pertinenti alle esigenze dei singoli casi possono anche essere copiate dalla lista di controllo II, se necessario adattate e inserite direttamente qui.</w:t>
      </w:r>
    </w:p>
    <w:p w14:paraId="29AAF8D3" w14:textId="118F52F7" w:rsidR="002B3ADA" w:rsidRPr="00523A7E" w:rsidRDefault="002B3ADA" w:rsidP="00A96F6E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Se 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installazione degli oggetti di fornitura non è dovuta, è necessario indicarlo qui:</w:t>
      </w:r>
    </w:p>
    <w:p w14:paraId="1F187FDC" w14:textId="77777777" w:rsidR="002B3ADA" w:rsidRPr="00523A7E" w:rsidRDefault="00A36340" w:rsidP="00A96F6E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Opz 3 o Opz suppl. a Opz 2 (installazione da parte del beneficiario)</w:t>
      </w:r>
    </w:p>
    <w:p w14:paraId="09EDE029" w14:textId="42718FB5" w:rsidR="002B3ADA" w:rsidRPr="00523A7E" w:rsidRDefault="002B3ADA" w:rsidP="00A96F6E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>In deroga al numero 29.2 delle CG dell</w:t>
      </w:r>
      <w:r w:rsidR="00BF66A9">
        <w:rPr>
          <w:rFonts w:asciiTheme="minorHAnsi" w:hAnsiTheme="minorHAnsi"/>
          <w:highlight w:val="yellow"/>
        </w:rPr>
        <w:t>’</w:t>
      </w:r>
      <w:r>
        <w:rPr>
          <w:rFonts w:asciiTheme="minorHAnsi" w:hAnsiTheme="minorHAnsi"/>
          <w:highlight w:val="yellow"/>
        </w:rPr>
        <w:t>ADS (edizione 2025), l</w:t>
      </w:r>
      <w:r w:rsidR="00BF66A9">
        <w:rPr>
          <w:rFonts w:asciiTheme="minorHAnsi" w:hAnsiTheme="minorHAnsi"/>
          <w:highlight w:val="yellow"/>
        </w:rPr>
        <w:t>’</w:t>
      </w:r>
      <w:r>
        <w:rPr>
          <w:rFonts w:asciiTheme="minorHAnsi" w:hAnsiTheme="minorHAnsi"/>
          <w:highlight w:val="yellow"/>
        </w:rPr>
        <w:t>installazione degli oggetti dell</w:t>
      </w:r>
      <w:r w:rsidR="00BF66A9">
        <w:rPr>
          <w:rFonts w:asciiTheme="minorHAnsi" w:hAnsiTheme="minorHAnsi"/>
          <w:highlight w:val="yellow"/>
        </w:rPr>
        <w:t>’</w:t>
      </w:r>
      <w:r>
        <w:rPr>
          <w:rFonts w:asciiTheme="minorHAnsi" w:hAnsiTheme="minorHAnsi"/>
          <w:highlight w:val="yellow"/>
        </w:rPr>
        <w:t>acquisto è eseguita dal beneficiario stesso secondo le istruzioni di installazione impartite dall</w:t>
      </w:r>
      <w:r w:rsidR="00BF66A9">
        <w:rPr>
          <w:rFonts w:asciiTheme="minorHAnsi" w:hAnsiTheme="minorHAnsi"/>
          <w:highlight w:val="yellow"/>
        </w:rPr>
        <w:t>’</w:t>
      </w:r>
      <w:r>
        <w:rPr>
          <w:rFonts w:asciiTheme="minorHAnsi" w:hAnsiTheme="minorHAnsi"/>
          <w:highlight w:val="yellow"/>
        </w:rPr>
        <w:t>offerente.</w:t>
      </w:r>
    </w:p>
    <w:p w14:paraId="05BD3215" w14:textId="4B2AFBBF" w:rsidR="00541381" w:rsidRPr="00523A7E" w:rsidRDefault="00541381" w:rsidP="00541381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atLeast"/>
        <w:ind w:left="708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i/>
          <w:highlight w:val="yellow"/>
        </w:rPr>
        <w:t>Altre clausole delle CG dell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ADS (edizione 2025) che possono essere rilevanti in relazione all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acquisto di hardware e che richiedono un accordo specifico nel contratto in caso di deroga, sono in particolare</w:t>
      </w:r>
      <w:r>
        <w:rPr>
          <w:rFonts w:asciiTheme="minorHAnsi" w:hAnsiTheme="minorHAnsi"/>
          <w:highlight w:val="yellow"/>
        </w:rPr>
        <w:t>:</w:t>
      </w:r>
    </w:p>
    <w:p w14:paraId="4636F10C" w14:textId="77777777" w:rsidR="00541381" w:rsidRPr="00523A7E" w:rsidRDefault="00541381" w:rsidP="00541381">
      <w:pPr>
        <w:pStyle w:val="Paragrafoelenco"/>
        <w:numPr>
          <w:ilvl w:val="0"/>
          <w:numId w:val="2"/>
        </w:num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atLeast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numero 10.1: lingua della documentazione;</w:t>
      </w:r>
    </w:p>
    <w:p w14:paraId="44CA33A6" w14:textId="77777777" w:rsidR="00541381" w:rsidRPr="00523A7E" w:rsidRDefault="00541381" w:rsidP="00541381">
      <w:pPr>
        <w:pStyle w:val="Paragrafoelenco"/>
        <w:numPr>
          <w:ilvl w:val="0"/>
          <w:numId w:val="2"/>
        </w:num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atLeast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numero 20.6: regolamentazioni divergenti relative alla garanzia;</w:t>
      </w:r>
    </w:p>
    <w:p w14:paraId="1C2C3C6D" w14:textId="4CC08827" w:rsidR="00541381" w:rsidRPr="00523A7E" w:rsidRDefault="00541381" w:rsidP="00541381">
      <w:pPr>
        <w:pStyle w:val="Paragrafoelenco"/>
        <w:numPr>
          <w:ilvl w:val="0"/>
          <w:numId w:val="2"/>
        </w:num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atLeast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i/>
          <w:highlight w:val="yellow"/>
        </w:rPr>
        <w:t>numero 26: applicabilità di un diritto diverso da quello svizzero e/o regolamentazione divergente relativa al foro competente</w:t>
      </w:r>
      <w:r w:rsidR="00FB7500">
        <w:rPr>
          <w:rFonts w:asciiTheme="minorHAnsi" w:hAnsiTheme="minorHAnsi"/>
          <w:i/>
          <w:highlight w:val="yellow"/>
        </w:rPr>
        <w:t>.</w:t>
      </w:r>
    </w:p>
    <w:p w14:paraId="6816E242" w14:textId="77777777" w:rsidR="005E1733" w:rsidRPr="00523A7E" w:rsidRDefault="005E1733" w:rsidP="00A96F6E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i/>
          <w:highlight w:val="yellow"/>
        </w:rPr>
      </w:pPr>
    </w:p>
    <w:p w14:paraId="50F2F4D0" w14:textId="77777777" w:rsidR="005E1733" w:rsidRPr="00523A7E" w:rsidRDefault="006F3CB1" w:rsidP="00A96F6E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Nota supplementare:</w:t>
      </w:r>
    </w:p>
    <w:p w14:paraId="13A6AC8D" w14:textId="192CB2A3" w:rsidR="008C7ECE" w:rsidRPr="00523A7E" w:rsidRDefault="005E1733" w:rsidP="00A96F6E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highlight w:val="yellow"/>
        </w:rPr>
        <w:t>Se 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obbligo di installazione e 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>eventuale parametrizzazione / adattamento delle interfacce / del collegamento di altri accessori / sistemi e simili vanno oltre una prestazione accessoria secondaria di minore entità, si sfuma il confine con l</w:t>
      </w:r>
      <w:r w:rsidR="00BF66A9">
        <w:rPr>
          <w:rFonts w:asciiTheme="minorHAnsi" w:hAnsiTheme="minorHAnsi"/>
          <w:i/>
          <w:highlight w:val="yellow"/>
        </w:rPr>
        <w:t>’</w:t>
      </w:r>
      <w:r>
        <w:rPr>
          <w:rFonts w:asciiTheme="minorHAnsi" w:hAnsiTheme="minorHAnsi"/>
          <w:i/>
          <w:highlight w:val="yellow"/>
        </w:rPr>
        <w:t xml:space="preserve">«acquisto di un sistema globale». In caso di dubbio, occorre utilizzare il modello di contratto </w:t>
      </w:r>
      <w:r>
        <w:rPr>
          <w:rFonts w:asciiTheme="minorHAnsi" w:hAnsiTheme="minorHAnsi"/>
          <w:b/>
          <w:i/>
          <w:highlight w:val="yellow"/>
        </w:rPr>
        <w:t>CAP 1</w:t>
      </w:r>
      <w:r>
        <w:rPr>
          <w:rFonts w:asciiTheme="minorHAnsi" w:hAnsiTheme="minorHAnsi"/>
          <w:i/>
          <w:highlight w:val="yellow"/>
        </w:rPr>
        <w:t>.</w:t>
      </w:r>
      <w:r>
        <w:rPr>
          <w:rFonts w:asciiTheme="minorHAnsi" w:hAnsiTheme="minorHAnsi"/>
          <w:highlight w:val="yellow"/>
        </w:rPr>
        <w:t>]</w:t>
      </w:r>
    </w:p>
    <w:p w14:paraId="7C3660A8" w14:textId="77777777" w:rsidR="0080048E" w:rsidRPr="00523A7E" w:rsidRDefault="0080048E" w:rsidP="00A96F6E">
      <w:pPr>
        <w:pStyle w:val="SIK-berschrift1"/>
      </w:pPr>
      <w:bookmarkStart w:id="11" w:name="_Toc199484638"/>
      <w:r>
        <w:t xml:space="preserve">12. </w:t>
      </w:r>
      <w:r>
        <w:tab/>
        <w:t>Disposizioni finali</w:t>
      </w:r>
      <w:bookmarkEnd w:id="11"/>
    </w:p>
    <w:p w14:paraId="4D26F927" w14:textId="77777777" w:rsidR="0080048E" w:rsidRPr="00523A7E" w:rsidRDefault="0080048E" w:rsidP="00A96F6E">
      <w:pPr>
        <w:pStyle w:val="SIK-Standard1"/>
        <w:rPr>
          <w:u w:val="single"/>
        </w:rPr>
      </w:pPr>
      <w:r>
        <w:rPr>
          <w:u w:val="single"/>
        </w:rPr>
        <w:t>Forma scritta</w:t>
      </w:r>
    </w:p>
    <w:p w14:paraId="6B312B33" w14:textId="77777777" w:rsidR="0080048E" w:rsidRPr="00523A7E" w:rsidRDefault="0080048E" w:rsidP="00A96F6E">
      <w:pPr>
        <w:pStyle w:val="SIK-Standard1"/>
      </w:pPr>
      <w:r>
        <w:t>Tutte le modifiche e le integrazioni al presente contratto, ai suoi allegati e alle sue parti integranti richiedono la forma scritta per essere valide, con un esplicito riferimento al presente contratto e firma giuridicamente valida da parte di entrambe le parti contraenti.</w:t>
      </w:r>
    </w:p>
    <w:p w14:paraId="58534228" w14:textId="1926B5C3" w:rsidR="0080048E" w:rsidRPr="00523A7E" w:rsidRDefault="0080048E" w:rsidP="00A96F6E">
      <w:pPr>
        <w:pStyle w:val="SIK-Standard1"/>
        <w:rPr>
          <w:u w:val="single"/>
        </w:rPr>
      </w:pPr>
      <w:r>
        <w:rPr>
          <w:u w:val="single"/>
        </w:rPr>
        <w:t>Principio della trasparenza</w:t>
      </w:r>
    </w:p>
    <w:p w14:paraId="0D1DD179" w14:textId="2487B6AB" w:rsidR="0080048E" w:rsidRPr="00523A7E" w:rsidRDefault="0080048E" w:rsidP="00A96F6E">
      <w:pPr>
        <w:pStyle w:val="SIK-Standard1"/>
      </w:pPr>
      <w:r>
        <w:t>In riferimento ai numeri 15 e 16 delle CG dell</w:t>
      </w:r>
      <w:r w:rsidR="00BF66A9">
        <w:t>’</w:t>
      </w:r>
      <w:r>
        <w:t xml:space="preserve">ADS (edizione 2025), le parti contraenti sono consapevoli che in molte località svizzere le amministrazioni pubbliche sono soggette per legge al </w:t>
      </w:r>
      <w:r>
        <w:lastRenderedPageBreak/>
        <w:t>principio della trasparenza, motivo per cui gli obblighi in materia di riservatezza esistenti possono essere limitati.</w:t>
      </w:r>
    </w:p>
    <w:p w14:paraId="4BF9D9BC" w14:textId="77777777" w:rsidR="0080048E" w:rsidRPr="00523A7E" w:rsidRDefault="0080048E" w:rsidP="00A96F6E">
      <w:pPr>
        <w:pStyle w:val="SIK-Standard1"/>
        <w:rPr>
          <w:u w:val="single"/>
        </w:rPr>
      </w:pPr>
      <w:r>
        <w:rPr>
          <w:u w:val="single"/>
        </w:rPr>
        <w:t>Nullità parziale</w:t>
      </w:r>
    </w:p>
    <w:p w14:paraId="4B22E5C6" w14:textId="77777777" w:rsidR="0080048E" w:rsidRPr="00523A7E" w:rsidRDefault="0080048E" w:rsidP="00A96F6E">
      <w:pPr>
        <w:pStyle w:val="SIK-Standard1"/>
      </w:pPr>
      <w:r>
        <w:t>Se le disposizioni del presente contratto, di uno dei suoi allegati o delle sue parti integranti dovessero risultare nulle o giuridicamente inefficaci, continuano ad applicarsi le restanti disposizioni. In questo caso, le disposizioni nulle o giuridicamente inefficaci saranno sostituite da disposizioni giuridicamente efficaci, i cui effetti economici si avvicinano il più possibile a quelli delle disposizioni giuridicamente inefficaci, nella misura consentita dal diritto.</w:t>
      </w:r>
    </w:p>
    <w:p w14:paraId="14D5CD06" w14:textId="77777777" w:rsidR="0080048E" w:rsidRPr="00523A7E" w:rsidRDefault="0080048E" w:rsidP="00A96F6E">
      <w:pPr>
        <w:pStyle w:val="SIK-Standard1"/>
        <w:rPr>
          <w:u w:val="single"/>
        </w:rPr>
      </w:pPr>
      <w:r>
        <w:rPr>
          <w:u w:val="single"/>
        </w:rPr>
        <w:t>Foro competente</w:t>
      </w:r>
    </w:p>
    <w:p w14:paraId="69272ED4" w14:textId="77777777" w:rsidR="005B4294" w:rsidRPr="00523A7E" w:rsidRDefault="0080048E" w:rsidP="005B4294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420" w:firstLine="6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In caso di divergenze entrambe le parti contraenti si impegnano a cercare in buona fede un accordo amichevole. </w:t>
      </w:r>
      <w:r>
        <w:rPr>
          <w:rFonts w:asciiTheme="minorHAnsi" w:hAnsiTheme="minorHAnsi"/>
        </w:rPr>
        <w:t>Tuttavia, si può rinunciare a una tale risoluzione delle controversie fra le parti se (i) una parte contraente dovesse perdere la possibilità di ottenere una protezione giuridica provvisoria o di far valere un diritto; (ii) una parte contraente rischia di subire altri svantaggi significativi a seguito dello svolgimento di trattative; o (iii) se non è possibile raggiungere un accordo o se tale accordo può essere già escluso a priori per ragioni oggettive.</w:t>
      </w:r>
    </w:p>
    <w:p w14:paraId="1F3C5814" w14:textId="24674C9F" w:rsidR="005B4294" w:rsidRPr="00523A7E" w:rsidRDefault="005B4294" w:rsidP="005B4294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before="120" w:after="120" w:line="320" w:lineRule="exact"/>
        <w:ind w:left="420" w:firstLine="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Secondo il numero 26 delle CG dell</w:t>
      </w:r>
      <w:r w:rsidR="00BF66A9">
        <w:rPr>
          <w:rFonts w:asciiTheme="minorHAnsi" w:hAnsiTheme="minorHAnsi"/>
        </w:rPr>
        <w:t>’</w:t>
      </w:r>
      <w:r>
        <w:rPr>
          <w:rFonts w:asciiTheme="minorHAnsi" w:hAnsiTheme="minorHAnsi"/>
        </w:rPr>
        <w:t>ADS (edizione 2025), il presente contratto è disciplinato dal diritto svizzero. Le disposizioni della Convenzione di Vienna (Convenzione delle Nazioni Unite sui contratti di vendita internazionale di merci, siglata a Vienna l</w:t>
      </w:r>
      <w:r w:rsidR="00BF66A9">
        <w:rPr>
          <w:rFonts w:asciiTheme="minorHAnsi" w:hAnsiTheme="minorHAnsi"/>
        </w:rPr>
        <w:t>’</w:t>
      </w:r>
      <w:r>
        <w:rPr>
          <w:rFonts w:asciiTheme="minorHAnsi" w:hAnsiTheme="minorHAnsi"/>
        </w:rPr>
        <w:t>11 aprile 1980) sono escluse. Il foro esclusivo è quello della sede del beneficiario.</w:t>
      </w:r>
    </w:p>
    <w:p w14:paraId="690BC1AB" w14:textId="77777777" w:rsidR="0080048E" w:rsidRPr="00523A7E" w:rsidRDefault="0080048E" w:rsidP="0037099D">
      <w:pPr>
        <w:pBdr>
          <w:bottom w:val="single" w:sz="4" w:space="1" w:color="auto"/>
        </w:pBd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spacing w:after="120" w:line="300" w:lineRule="atLeast"/>
        <w:ind w:left="420" w:hanging="420"/>
        <w:jc w:val="both"/>
        <w:rPr>
          <w:rFonts w:asciiTheme="minorHAnsi" w:hAnsiTheme="minorHAnsi"/>
        </w:rPr>
      </w:pPr>
    </w:p>
    <w:p w14:paraId="0311A520" w14:textId="77777777" w:rsidR="008C7ECE" w:rsidRPr="00523A7E" w:rsidRDefault="008C7ECE" w:rsidP="00A96F6E">
      <w:pPr>
        <w:pStyle w:val="SIK-Standard1"/>
        <w:ind w:left="0"/>
      </w:pPr>
      <w:r>
        <w:t>Il presente documento contrattuale e i relativi allegati sono redatti in due esemplari.</w:t>
      </w:r>
    </w:p>
    <w:p w14:paraId="56F87498" w14:textId="77777777" w:rsidR="008C7ECE" w:rsidRPr="00523A7E" w:rsidRDefault="008C7ECE" w:rsidP="00A96F6E">
      <w:pPr>
        <w:pStyle w:val="SIK-Standard1"/>
        <w:ind w:left="0"/>
      </w:pPr>
    </w:p>
    <w:p w14:paraId="149DDF5D" w14:textId="77777777" w:rsidR="008C7ECE" w:rsidRPr="00523A7E" w:rsidRDefault="008C7ECE" w:rsidP="00A96F6E">
      <w:pPr>
        <w:pStyle w:val="SIK-Standard1"/>
        <w:ind w:left="0"/>
      </w:pPr>
    </w:p>
    <w:p w14:paraId="078EABBC" w14:textId="77777777" w:rsidR="008C7ECE" w:rsidRPr="00523A7E" w:rsidRDefault="008C7ECE" w:rsidP="00A96F6E">
      <w:pPr>
        <w:pStyle w:val="SIK-Standard1"/>
        <w:ind w:left="0"/>
        <w:rPr>
          <w:b/>
        </w:rPr>
      </w:pPr>
      <w:r>
        <w:rPr>
          <w:b/>
        </w:rPr>
        <w:t>Firme</w:t>
      </w:r>
    </w:p>
    <w:p w14:paraId="075F0093" w14:textId="77777777" w:rsidR="008C7ECE" w:rsidRPr="00523A7E" w:rsidRDefault="008C7ECE" w:rsidP="00A96F6E">
      <w:pPr>
        <w:pStyle w:val="SIK-Standard1"/>
        <w:ind w:left="0"/>
      </w:pPr>
    </w:p>
    <w:p w14:paraId="62A5C07F" w14:textId="77777777" w:rsidR="008C7ECE" w:rsidRPr="00523A7E" w:rsidRDefault="008C7ECE" w:rsidP="00A96F6E">
      <w:pPr>
        <w:pStyle w:val="SIK-Standard1"/>
        <w:tabs>
          <w:tab w:val="left" w:pos="4395"/>
        </w:tabs>
        <w:ind w:left="0"/>
      </w:pPr>
      <w:r>
        <w:t>Luogo e data:</w:t>
      </w:r>
      <w:r>
        <w:tab/>
        <w:t>Luogo e data:</w:t>
      </w:r>
    </w:p>
    <w:p w14:paraId="0BD6B1B7" w14:textId="77777777" w:rsidR="008C7ECE" w:rsidRPr="00523A7E" w:rsidRDefault="008C7ECE" w:rsidP="00A96F6E">
      <w:pPr>
        <w:pStyle w:val="SIK-Standard1"/>
        <w:ind w:left="0"/>
      </w:pPr>
    </w:p>
    <w:p w14:paraId="466C6A55" w14:textId="77777777" w:rsidR="008C7ECE" w:rsidRPr="00523A7E" w:rsidRDefault="008C7ECE" w:rsidP="00A96F6E">
      <w:pPr>
        <w:pStyle w:val="SIK-Standard1"/>
        <w:ind w:left="0"/>
      </w:pPr>
    </w:p>
    <w:p w14:paraId="48382934" w14:textId="77777777" w:rsidR="00636A55" w:rsidRPr="00523A7E" w:rsidRDefault="002E3E5F" w:rsidP="00A96F6E">
      <w:pPr>
        <w:pStyle w:val="SIK-Standard1"/>
        <w:tabs>
          <w:tab w:val="left" w:pos="4395"/>
        </w:tabs>
        <w:ind w:left="0"/>
      </w:pPr>
      <w:r>
        <w:t>Beneficiario:</w:t>
      </w:r>
      <w:r>
        <w:tab/>
        <w:t>Offerente:</w:t>
      </w:r>
    </w:p>
    <w:sectPr w:rsidR="00636A55" w:rsidRPr="00523A7E">
      <w:headerReference w:type="default" r:id="rId11"/>
      <w:footerReference w:type="default" r:id="rId12"/>
      <w:footerReference w:type="first" r:id="rId13"/>
      <w:pgSz w:w="11913" w:h="16834"/>
      <w:pgMar w:top="624" w:right="1247" w:bottom="624" w:left="1361" w:header="720" w:footer="720" w:gutter="0"/>
      <w:paperSrc w:first="15018" w:other="1501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0BA9" w14:textId="77777777" w:rsidR="00307930" w:rsidRDefault="00307930" w:rsidP="00D224C7">
      <w:r>
        <w:separator/>
      </w:r>
    </w:p>
  </w:endnote>
  <w:endnote w:type="continuationSeparator" w:id="0">
    <w:p w14:paraId="207F739B" w14:textId="77777777" w:rsidR="00307930" w:rsidRDefault="00307930" w:rsidP="00D224C7">
      <w:r>
        <w:continuationSeparator/>
      </w:r>
    </w:p>
  </w:endnote>
  <w:endnote w:type="continuationNotice" w:id="1">
    <w:p w14:paraId="36136C8B" w14:textId="77777777" w:rsidR="00307930" w:rsidRDefault="003079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499C" w14:textId="77777777" w:rsidR="00A12746" w:rsidRPr="002B3516" w:rsidRDefault="008A3C66" w:rsidP="002B3516">
    <w:pPr>
      <w:pStyle w:val="Pidipagina"/>
      <w:pBdr>
        <w:top w:val="single" w:sz="4" w:space="0" w:color="auto"/>
      </w:pBdr>
      <w:tabs>
        <w:tab w:val="right" w:pos="9356"/>
      </w:tabs>
      <w:ind w:right="-2"/>
    </w:pPr>
    <w:r>
      <w:rPr>
        <w:rFonts w:ascii="Calibri" w:hAnsi="Calibri" w:cs="Calibri"/>
        <w:sz w:val="20"/>
      </w:rPr>
      <w:t>CAH-3-rev_rev_2025.03.04</w:t>
    </w:r>
    <w:r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  <w:t>Pagina </w:t>
    </w:r>
    <w:r w:rsidR="002B3516" w:rsidRPr="002006EC">
      <w:rPr>
        <w:rFonts w:ascii="Calibri" w:hAnsi="Calibri" w:cs="Calibri"/>
        <w:iCs/>
        <w:sz w:val="20"/>
      </w:rPr>
      <w:fldChar w:fldCharType="begin"/>
    </w:r>
    <w:r w:rsidR="002B3516" w:rsidRPr="006E7335">
      <w:rPr>
        <w:rFonts w:ascii="Calibri" w:hAnsi="Calibri" w:cs="Calibri"/>
        <w:iCs/>
        <w:sz w:val="20"/>
        <w:lang w:val="de-CH"/>
      </w:rPr>
      <w:instrText xml:space="preserve"> PAGE </w:instrText>
    </w:r>
    <w:r w:rsidR="002B3516" w:rsidRPr="002006EC">
      <w:rPr>
        <w:rFonts w:ascii="Calibri" w:hAnsi="Calibri" w:cs="Calibri"/>
        <w:iCs/>
        <w:sz w:val="20"/>
      </w:rPr>
      <w:fldChar w:fldCharType="separate"/>
    </w:r>
    <w:r>
      <w:rPr>
        <w:rFonts w:ascii="Calibri" w:hAnsi="Calibri" w:cs="Calibri"/>
        <w:iCs/>
        <w:sz w:val="20"/>
        <w:lang w:val="de-CH"/>
      </w:rPr>
      <w:t>2</w:t>
    </w:r>
    <w:r w:rsidR="002B3516" w:rsidRPr="002006EC">
      <w:rPr>
        <w:rFonts w:ascii="Calibri" w:hAnsi="Calibri" w:cs="Calibri"/>
        <w:iCs/>
        <w:sz w:val="20"/>
      </w:rPr>
      <w:fldChar w:fldCharType="end"/>
    </w:r>
    <w:r>
      <w:rPr>
        <w:rFonts w:ascii="Calibri" w:hAnsi="Calibri" w:cs="Calibri"/>
        <w:sz w:val="20"/>
      </w:rPr>
      <w:t xml:space="preserve"> di </w:t>
    </w:r>
    <w:r w:rsidR="002B3516" w:rsidRPr="002006EC">
      <w:rPr>
        <w:rFonts w:ascii="Calibri" w:hAnsi="Calibri" w:cs="Calibri"/>
        <w:iCs/>
        <w:sz w:val="20"/>
      </w:rPr>
      <w:fldChar w:fldCharType="begin"/>
    </w:r>
    <w:r w:rsidR="002B3516" w:rsidRPr="006E7335">
      <w:rPr>
        <w:rFonts w:ascii="Calibri" w:hAnsi="Calibri" w:cs="Calibri"/>
        <w:iCs/>
        <w:sz w:val="20"/>
        <w:lang w:val="de-CH"/>
      </w:rPr>
      <w:instrText xml:space="preserve"> NUMPAGES </w:instrText>
    </w:r>
    <w:r w:rsidR="002B3516" w:rsidRPr="002006EC">
      <w:rPr>
        <w:rFonts w:ascii="Calibri" w:hAnsi="Calibri" w:cs="Calibri"/>
        <w:iCs/>
        <w:sz w:val="20"/>
      </w:rPr>
      <w:fldChar w:fldCharType="separate"/>
    </w:r>
    <w:r>
      <w:rPr>
        <w:rFonts w:ascii="Calibri" w:hAnsi="Calibri" w:cs="Calibri"/>
        <w:iCs/>
        <w:sz w:val="20"/>
        <w:lang w:val="de-CH"/>
      </w:rPr>
      <w:t>6</w:t>
    </w:r>
    <w:r w:rsidR="002B3516" w:rsidRPr="002006EC">
      <w:rPr>
        <w:rFonts w:ascii="Calibri" w:hAnsi="Calibri" w:cs="Calibri"/>
        <w:i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9C1A" w14:textId="77777777" w:rsidR="00A12746" w:rsidRPr="009B46C0" w:rsidRDefault="008A3C66" w:rsidP="009B46C0">
    <w:pPr>
      <w:pStyle w:val="Pidipagina"/>
      <w:pBdr>
        <w:top w:val="single" w:sz="4" w:space="0" w:color="auto"/>
      </w:pBdr>
      <w:tabs>
        <w:tab w:val="right" w:pos="9356"/>
      </w:tabs>
      <w:ind w:right="-2"/>
    </w:pPr>
    <w:r>
      <w:rPr>
        <w:rFonts w:ascii="Calibri" w:hAnsi="Calibri" w:cs="Calibri"/>
        <w:sz w:val="20"/>
      </w:rPr>
      <w:t>CAH-3-rev_rev_2025.03.04</w:t>
    </w:r>
    <w:r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  <w:t>Pagina </w:t>
    </w:r>
    <w:r w:rsidR="009B46C0" w:rsidRPr="002006EC">
      <w:rPr>
        <w:rFonts w:ascii="Calibri" w:hAnsi="Calibri" w:cs="Calibri"/>
        <w:iCs/>
        <w:sz w:val="20"/>
      </w:rPr>
      <w:fldChar w:fldCharType="begin"/>
    </w:r>
    <w:r w:rsidR="009B46C0" w:rsidRPr="006E7335">
      <w:rPr>
        <w:rFonts w:ascii="Calibri" w:hAnsi="Calibri" w:cs="Calibri"/>
        <w:iCs/>
        <w:sz w:val="20"/>
        <w:lang w:val="de-CH"/>
      </w:rPr>
      <w:instrText xml:space="preserve"> PAGE </w:instrText>
    </w:r>
    <w:r w:rsidR="009B46C0" w:rsidRPr="002006EC">
      <w:rPr>
        <w:rFonts w:ascii="Calibri" w:hAnsi="Calibri" w:cs="Calibri"/>
        <w:iCs/>
        <w:sz w:val="20"/>
      </w:rPr>
      <w:fldChar w:fldCharType="separate"/>
    </w:r>
    <w:r>
      <w:rPr>
        <w:rFonts w:ascii="Calibri" w:hAnsi="Calibri" w:cs="Calibri"/>
        <w:iCs/>
        <w:sz w:val="20"/>
        <w:lang w:val="de-CH"/>
      </w:rPr>
      <w:t>1</w:t>
    </w:r>
    <w:r w:rsidR="009B46C0" w:rsidRPr="002006EC">
      <w:rPr>
        <w:rFonts w:ascii="Calibri" w:hAnsi="Calibri" w:cs="Calibri"/>
        <w:iCs/>
        <w:sz w:val="20"/>
      </w:rPr>
      <w:fldChar w:fldCharType="end"/>
    </w:r>
    <w:r>
      <w:rPr>
        <w:rFonts w:ascii="Calibri" w:hAnsi="Calibri" w:cs="Calibri"/>
        <w:sz w:val="20"/>
      </w:rPr>
      <w:t xml:space="preserve"> di </w:t>
    </w:r>
    <w:r w:rsidR="009B46C0" w:rsidRPr="002006EC">
      <w:rPr>
        <w:rFonts w:ascii="Calibri" w:hAnsi="Calibri" w:cs="Calibri"/>
        <w:iCs/>
        <w:sz w:val="20"/>
      </w:rPr>
      <w:fldChar w:fldCharType="begin"/>
    </w:r>
    <w:r w:rsidR="009B46C0" w:rsidRPr="006E7335">
      <w:rPr>
        <w:rFonts w:ascii="Calibri" w:hAnsi="Calibri" w:cs="Calibri"/>
        <w:iCs/>
        <w:sz w:val="20"/>
        <w:lang w:val="de-CH"/>
      </w:rPr>
      <w:instrText xml:space="preserve"> NUMPAGES </w:instrText>
    </w:r>
    <w:r w:rsidR="009B46C0" w:rsidRPr="002006EC">
      <w:rPr>
        <w:rFonts w:ascii="Calibri" w:hAnsi="Calibri" w:cs="Calibri"/>
        <w:iCs/>
        <w:sz w:val="20"/>
      </w:rPr>
      <w:fldChar w:fldCharType="separate"/>
    </w:r>
    <w:r>
      <w:rPr>
        <w:rFonts w:ascii="Calibri" w:hAnsi="Calibri" w:cs="Calibri"/>
        <w:iCs/>
        <w:sz w:val="20"/>
        <w:lang w:val="de-CH"/>
      </w:rPr>
      <w:t>6</w:t>
    </w:r>
    <w:r w:rsidR="009B46C0" w:rsidRPr="002006EC">
      <w:rPr>
        <w:rFonts w:ascii="Calibri" w:hAnsi="Calibri" w:cs="Calibri"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CD4A" w14:textId="77777777" w:rsidR="00307930" w:rsidRDefault="00307930" w:rsidP="00D224C7">
      <w:r>
        <w:separator/>
      </w:r>
    </w:p>
  </w:footnote>
  <w:footnote w:type="continuationSeparator" w:id="0">
    <w:p w14:paraId="0D4B9A19" w14:textId="77777777" w:rsidR="00307930" w:rsidRDefault="00307930" w:rsidP="00D224C7">
      <w:r>
        <w:continuationSeparator/>
      </w:r>
    </w:p>
  </w:footnote>
  <w:footnote w:type="continuationNotice" w:id="1">
    <w:p w14:paraId="0AD01433" w14:textId="77777777" w:rsidR="00307930" w:rsidRDefault="003079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884D" w14:textId="0AEE8519" w:rsidR="00A12746" w:rsidRPr="002B3516" w:rsidRDefault="002B3516">
    <w:pPr>
      <w:pStyle w:val="Intestazione"/>
      <w:pBdr>
        <w:bottom w:val="single" w:sz="6" w:space="1" w:color="auto"/>
      </w:pBdr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ab/>
      <w:t>Contratto per l</w:t>
    </w:r>
    <w:r w:rsidR="00BF66A9">
      <w:rPr>
        <w:rFonts w:asciiTheme="minorHAnsi" w:hAnsiTheme="minorHAnsi"/>
        <w:sz w:val="20"/>
      </w:rPr>
      <w:t>’</w:t>
    </w:r>
    <w:r>
      <w:rPr>
        <w:rFonts w:asciiTheme="minorHAnsi" w:hAnsiTheme="minorHAnsi"/>
        <w:sz w:val="20"/>
      </w:rPr>
      <w:t>acquisto di hardware</w:t>
    </w:r>
  </w:p>
  <w:p w14:paraId="2CFBC60B" w14:textId="77777777" w:rsidR="00A12746" w:rsidRDefault="00A127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56B"/>
    <w:multiLevelType w:val="hybridMultilevel"/>
    <w:tmpl w:val="D8468C54"/>
    <w:lvl w:ilvl="0" w:tplc="CE10F01E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/>
        <w:sz w:val="22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EEC746A"/>
    <w:multiLevelType w:val="hybridMultilevel"/>
    <w:tmpl w:val="49A255B8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66993478">
    <w:abstractNumId w:val="1"/>
  </w:num>
  <w:num w:numId="2" w16cid:durableId="9522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CE"/>
    <w:rsid w:val="000051C8"/>
    <w:rsid w:val="00031766"/>
    <w:rsid w:val="00037C7B"/>
    <w:rsid w:val="00054214"/>
    <w:rsid w:val="0005716F"/>
    <w:rsid w:val="000610A0"/>
    <w:rsid w:val="000674F8"/>
    <w:rsid w:val="000711C8"/>
    <w:rsid w:val="00087470"/>
    <w:rsid w:val="000B4AB4"/>
    <w:rsid w:val="000B57A4"/>
    <w:rsid w:val="000C0328"/>
    <w:rsid w:val="000E7727"/>
    <w:rsid w:val="00117E97"/>
    <w:rsid w:val="00120FE3"/>
    <w:rsid w:val="00152961"/>
    <w:rsid w:val="0018517D"/>
    <w:rsid w:val="001916EB"/>
    <w:rsid w:val="0019259C"/>
    <w:rsid w:val="00194497"/>
    <w:rsid w:val="001A175C"/>
    <w:rsid w:val="00205E58"/>
    <w:rsid w:val="00225095"/>
    <w:rsid w:val="00243F7D"/>
    <w:rsid w:val="0024570D"/>
    <w:rsid w:val="00246115"/>
    <w:rsid w:val="002563E9"/>
    <w:rsid w:val="0026442C"/>
    <w:rsid w:val="0026548B"/>
    <w:rsid w:val="00272432"/>
    <w:rsid w:val="002B2361"/>
    <w:rsid w:val="002B3516"/>
    <w:rsid w:val="002B3ADA"/>
    <w:rsid w:val="002E3E5F"/>
    <w:rsid w:val="002F271B"/>
    <w:rsid w:val="002F6E8E"/>
    <w:rsid w:val="003037CD"/>
    <w:rsid w:val="00307930"/>
    <w:rsid w:val="00326D44"/>
    <w:rsid w:val="00331D43"/>
    <w:rsid w:val="00340982"/>
    <w:rsid w:val="003427C7"/>
    <w:rsid w:val="00342D99"/>
    <w:rsid w:val="00360B1C"/>
    <w:rsid w:val="0037099D"/>
    <w:rsid w:val="003753AC"/>
    <w:rsid w:val="003A273E"/>
    <w:rsid w:val="003A734E"/>
    <w:rsid w:val="003B6967"/>
    <w:rsid w:val="003C552F"/>
    <w:rsid w:val="003D2C05"/>
    <w:rsid w:val="003E0990"/>
    <w:rsid w:val="003F04F9"/>
    <w:rsid w:val="003F5406"/>
    <w:rsid w:val="004125B0"/>
    <w:rsid w:val="004130D1"/>
    <w:rsid w:val="004150DA"/>
    <w:rsid w:val="00415CC7"/>
    <w:rsid w:val="00426A86"/>
    <w:rsid w:val="00433F78"/>
    <w:rsid w:val="004A64B1"/>
    <w:rsid w:val="004B1981"/>
    <w:rsid w:val="004B783D"/>
    <w:rsid w:val="004D2C16"/>
    <w:rsid w:val="004E2AC6"/>
    <w:rsid w:val="004E6CB2"/>
    <w:rsid w:val="0050588D"/>
    <w:rsid w:val="00511342"/>
    <w:rsid w:val="00523A7E"/>
    <w:rsid w:val="00541381"/>
    <w:rsid w:val="00554292"/>
    <w:rsid w:val="00597D59"/>
    <w:rsid w:val="005A37F5"/>
    <w:rsid w:val="005B4294"/>
    <w:rsid w:val="005D4DF9"/>
    <w:rsid w:val="005E1733"/>
    <w:rsid w:val="005F0A2C"/>
    <w:rsid w:val="00604E7C"/>
    <w:rsid w:val="00607CFD"/>
    <w:rsid w:val="00636A55"/>
    <w:rsid w:val="006538D1"/>
    <w:rsid w:val="0065399D"/>
    <w:rsid w:val="0066495E"/>
    <w:rsid w:val="00680E02"/>
    <w:rsid w:val="006838E0"/>
    <w:rsid w:val="00687E11"/>
    <w:rsid w:val="006B6843"/>
    <w:rsid w:val="006F3CB1"/>
    <w:rsid w:val="007155A0"/>
    <w:rsid w:val="00720482"/>
    <w:rsid w:val="00761020"/>
    <w:rsid w:val="007664DC"/>
    <w:rsid w:val="00773721"/>
    <w:rsid w:val="00795075"/>
    <w:rsid w:val="00795A46"/>
    <w:rsid w:val="00797DC0"/>
    <w:rsid w:val="007B0426"/>
    <w:rsid w:val="007B104D"/>
    <w:rsid w:val="0080048E"/>
    <w:rsid w:val="00803EDC"/>
    <w:rsid w:val="0083648A"/>
    <w:rsid w:val="00837472"/>
    <w:rsid w:val="00842D0E"/>
    <w:rsid w:val="00853A73"/>
    <w:rsid w:val="00853F68"/>
    <w:rsid w:val="00875AA8"/>
    <w:rsid w:val="00882B6E"/>
    <w:rsid w:val="008A0334"/>
    <w:rsid w:val="008A3C66"/>
    <w:rsid w:val="008B60D6"/>
    <w:rsid w:val="008C0368"/>
    <w:rsid w:val="008C0AD0"/>
    <w:rsid w:val="008C7ECE"/>
    <w:rsid w:val="008D2C6B"/>
    <w:rsid w:val="009337BF"/>
    <w:rsid w:val="0095311A"/>
    <w:rsid w:val="0096140E"/>
    <w:rsid w:val="009931F9"/>
    <w:rsid w:val="009A6D9C"/>
    <w:rsid w:val="009B0329"/>
    <w:rsid w:val="009B46C0"/>
    <w:rsid w:val="009D6C30"/>
    <w:rsid w:val="009E0992"/>
    <w:rsid w:val="009F05B0"/>
    <w:rsid w:val="00A12746"/>
    <w:rsid w:val="00A153DA"/>
    <w:rsid w:val="00A36340"/>
    <w:rsid w:val="00A43ED2"/>
    <w:rsid w:val="00A46F33"/>
    <w:rsid w:val="00A65C4A"/>
    <w:rsid w:val="00A759E3"/>
    <w:rsid w:val="00A77B41"/>
    <w:rsid w:val="00A9375E"/>
    <w:rsid w:val="00A96F6E"/>
    <w:rsid w:val="00AA05E1"/>
    <w:rsid w:val="00AE3FC7"/>
    <w:rsid w:val="00AF47DB"/>
    <w:rsid w:val="00B02596"/>
    <w:rsid w:val="00B0425D"/>
    <w:rsid w:val="00B05F95"/>
    <w:rsid w:val="00B065E2"/>
    <w:rsid w:val="00B26436"/>
    <w:rsid w:val="00B33C50"/>
    <w:rsid w:val="00B9043E"/>
    <w:rsid w:val="00B9666D"/>
    <w:rsid w:val="00BA5D8C"/>
    <w:rsid w:val="00BA7527"/>
    <w:rsid w:val="00BC10B2"/>
    <w:rsid w:val="00BC2C37"/>
    <w:rsid w:val="00BC42AD"/>
    <w:rsid w:val="00BD28F1"/>
    <w:rsid w:val="00BF317E"/>
    <w:rsid w:val="00BF66A9"/>
    <w:rsid w:val="00C0395F"/>
    <w:rsid w:val="00C14831"/>
    <w:rsid w:val="00C301DC"/>
    <w:rsid w:val="00C42171"/>
    <w:rsid w:val="00C61E6E"/>
    <w:rsid w:val="00CB02EB"/>
    <w:rsid w:val="00CB0EFE"/>
    <w:rsid w:val="00CB3DB3"/>
    <w:rsid w:val="00CE0E4A"/>
    <w:rsid w:val="00D06E8D"/>
    <w:rsid w:val="00D111A0"/>
    <w:rsid w:val="00D111BD"/>
    <w:rsid w:val="00D213B3"/>
    <w:rsid w:val="00D224C7"/>
    <w:rsid w:val="00D53F6D"/>
    <w:rsid w:val="00D60082"/>
    <w:rsid w:val="00D677B3"/>
    <w:rsid w:val="00D818FE"/>
    <w:rsid w:val="00D8359D"/>
    <w:rsid w:val="00D86CFF"/>
    <w:rsid w:val="00DA0980"/>
    <w:rsid w:val="00DA2677"/>
    <w:rsid w:val="00DA3C03"/>
    <w:rsid w:val="00DA50D3"/>
    <w:rsid w:val="00DF7101"/>
    <w:rsid w:val="00E30F4E"/>
    <w:rsid w:val="00E33B34"/>
    <w:rsid w:val="00E46B3B"/>
    <w:rsid w:val="00E72B22"/>
    <w:rsid w:val="00E75DAF"/>
    <w:rsid w:val="00E83F8E"/>
    <w:rsid w:val="00E91669"/>
    <w:rsid w:val="00E91E24"/>
    <w:rsid w:val="00EA5C56"/>
    <w:rsid w:val="00EA6C7C"/>
    <w:rsid w:val="00EC0E62"/>
    <w:rsid w:val="00EC3266"/>
    <w:rsid w:val="00EC4EBC"/>
    <w:rsid w:val="00EE7234"/>
    <w:rsid w:val="00EF1844"/>
    <w:rsid w:val="00EF5482"/>
    <w:rsid w:val="00F17F02"/>
    <w:rsid w:val="00F3409D"/>
    <w:rsid w:val="00F36775"/>
    <w:rsid w:val="00F40891"/>
    <w:rsid w:val="00F54875"/>
    <w:rsid w:val="00F67196"/>
    <w:rsid w:val="00F73926"/>
    <w:rsid w:val="00F91EC7"/>
    <w:rsid w:val="00FB7500"/>
    <w:rsid w:val="00FC5550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4361EC"/>
  <w15:docId w15:val="{E385D1E5-00DD-4984-A3DD-140052E4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ECE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64B1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spacing w:after="120" w:line="300" w:lineRule="atLeast"/>
      <w:ind w:left="426" w:hanging="426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semiHidden/>
    <w:rsid w:val="008C7ECE"/>
    <w:pPr>
      <w:ind w:left="426" w:hanging="426"/>
    </w:pPr>
  </w:style>
  <w:style w:type="paragraph" w:styleId="Sommario1">
    <w:name w:val="toc 1"/>
    <w:basedOn w:val="Normale"/>
    <w:next w:val="Normale"/>
    <w:uiPriority w:val="39"/>
    <w:rsid w:val="008C7ECE"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Pidipagina">
    <w:name w:val="footer"/>
    <w:basedOn w:val="Normale"/>
    <w:link w:val="PidipaginaCarattere"/>
    <w:rsid w:val="008C7ECE"/>
    <w:pPr>
      <w:tabs>
        <w:tab w:val="clear" w:pos="7938"/>
      </w:tabs>
    </w:pPr>
    <w:rPr>
      <w:noProof/>
      <w:sz w:val="12"/>
    </w:rPr>
  </w:style>
  <w:style w:type="character" w:customStyle="1" w:styleId="PidipaginaCarattere">
    <w:name w:val="Piè di pagina Carattere"/>
    <w:basedOn w:val="Carpredefinitoparagrafo"/>
    <w:link w:val="Pidipagina"/>
    <w:rsid w:val="008C7ECE"/>
    <w:rPr>
      <w:rFonts w:ascii="Arial" w:eastAsia="Times New Roman" w:hAnsi="Arial" w:cs="Times New Roman"/>
      <w:noProof/>
      <w:sz w:val="12"/>
      <w:szCs w:val="20"/>
      <w:lang w:val="it-CH" w:eastAsia="de-DE"/>
    </w:rPr>
  </w:style>
  <w:style w:type="paragraph" w:styleId="Intestazione">
    <w:name w:val="header"/>
    <w:basedOn w:val="Normale"/>
    <w:link w:val="IntestazioneCarattere"/>
    <w:semiHidden/>
    <w:rsid w:val="008C7ECE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C7ECE"/>
    <w:rPr>
      <w:rFonts w:ascii="Arial" w:eastAsia="Times New Roman" w:hAnsi="Arial" w:cs="Times New Roman"/>
      <w:szCs w:val="20"/>
      <w:lang w:val="it-CH" w:eastAsia="de-DE"/>
    </w:rPr>
  </w:style>
  <w:style w:type="paragraph" w:customStyle="1" w:styleId="Aufzhlung1">
    <w:name w:val="Aufzählung1"/>
    <w:basedOn w:val="Normale"/>
    <w:next w:val="Normale"/>
    <w:rsid w:val="008C7ECE"/>
    <w:pPr>
      <w:ind w:left="426" w:hanging="426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A64B1"/>
    <w:rPr>
      <w:rFonts w:ascii="Arial" w:eastAsia="Times New Roman" w:hAnsi="Arial" w:cs="Times New Roman"/>
      <w:b/>
      <w:szCs w:val="20"/>
      <w:lang w:val="it-CH" w:eastAsia="de-DE"/>
    </w:rPr>
  </w:style>
  <w:style w:type="character" w:styleId="Collegamentoipertestuale">
    <w:name w:val="Hyperlink"/>
    <w:basedOn w:val="Carpredefinitoparagrafo"/>
    <w:uiPriority w:val="99"/>
    <w:unhideWhenUsed/>
    <w:rsid w:val="004A64B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C0E62"/>
    <w:pPr>
      <w:ind w:left="720"/>
      <w:contextualSpacing/>
    </w:pPr>
  </w:style>
  <w:style w:type="paragraph" w:customStyle="1" w:styleId="Textkrper21">
    <w:name w:val="Textkörper 21"/>
    <w:basedOn w:val="Normale"/>
    <w:rsid w:val="009B46C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1134"/>
      </w:tabs>
      <w:overflowPunct w:val="0"/>
      <w:autoSpaceDE w:val="0"/>
      <w:autoSpaceDN w:val="0"/>
      <w:adjustRightInd w:val="0"/>
      <w:ind w:left="1134"/>
      <w:textAlignment w:val="baseline"/>
    </w:pPr>
    <w:rPr>
      <w:rFonts w:ascii="Times New Roman" w:hAnsi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6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6C0"/>
    <w:rPr>
      <w:rFonts w:ascii="Tahoma" w:eastAsia="Times New Roman" w:hAnsi="Tahoma" w:cs="Tahoma"/>
      <w:sz w:val="16"/>
      <w:szCs w:val="16"/>
      <w:lang w:val="it-CH" w:eastAsia="de-DE"/>
    </w:rPr>
  </w:style>
  <w:style w:type="paragraph" w:customStyle="1" w:styleId="SIK-Standard">
    <w:name w:val="SIK-Standard"/>
    <w:basedOn w:val="Normale"/>
    <w:link w:val="SIK-StandardZchn"/>
    <w:qFormat/>
    <w:rsid w:val="009B46C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spacing w:before="120" w:after="120" w:line="320" w:lineRule="exact"/>
      <w:ind w:left="425"/>
      <w:jc w:val="both"/>
    </w:pPr>
    <w:rPr>
      <w:rFonts w:asciiTheme="minorHAnsi" w:hAnsiTheme="minorHAnsi"/>
    </w:rPr>
  </w:style>
  <w:style w:type="paragraph" w:customStyle="1" w:styleId="SIK-Standard1">
    <w:name w:val="SIK-Standard 1"/>
    <w:basedOn w:val="Normale"/>
    <w:link w:val="SIK-Standard1Zchn"/>
    <w:qFormat/>
    <w:rsid w:val="009B46C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spacing w:before="120" w:after="120" w:line="320" w:lineRule="exact"/>
      <w:ind w:left="425"/>
      <w:jc w:val="both"/>
    </w:pPr>
    <w:rPr>
      <w:rFonts w:asciiTheme="minorHAnsi" w:hAnsiTheme="minorHAnsi"/>
    </w:rPr>
  </w:style>
  <w:style w:type="character" w:customStyle="1" w:styleId="SIK-StandardZchn">
    <w:name w:val="SIK-Standard Zchn"/>
    <w:basedOn w:val="Carpredefinitoparagrafo"/>
    <w:link w:val="SIK-Standard"/>
    <w:rsid w:val="009B46C0"/>
    <w:rPr>
      <w:rFonts w:eastAsia="Times New Roman" w:cs="Times New Roman"/>
      <w:szCs w:val="20"/>
      <w:lang w:val="it-CH" w:eastAsia="de-DE"/>
    </w:rPr>
  </w:style>
  <w:style w:type="paragraph" w:customStyle="1" w:styleId="SIK-berschrift1">
    <w:name w:val="SIK-Überschrift 1"/>
    <w:basedOn w:val="Titolo1"/>
    <w:link w:val="SIK-berschrift1Zchn"/>
    <w:qFormat/>
    <w:rsid w:val="009B46C0"/>
    <w:pPr>
      <w:spacing w:before="360" w:line="320" w:lineRule="exact"/>
      <w:ind w:left="425" w:hanging="425"/>
      <w:jc w:val="both"/>
    </w:pPr>
    <w:rPr>
      <w:rFonts w:asciiTheme="minorHAnsi" w:hAnsiTheme="minorHAnsi"/>
    </w:rPr>
  </w:style>
  <w:style w:type="character" w:customStyle="1" w:styleId="SIK-Standard1Zchn">
    <w:name w:val="SIK-Standard 1 Zchn"/>
    <w:basedOn w:val="Carpredefinitoparagrafo"/>
    <w:link w:val="SIK-Standard1"/>
    <w:rsid w:val="009B46C0"/>
    <w:rPr>
      <w:rFonts w:eastAsia="Times New Roman" w:cs="Times New Roman"/>
      <w:szCs w:val="20"/>
      <w:lang w:val="it-CH" w:eastAsia="de-DE"/>
    </w:rPr>
  </w:style>
  <w:style w:type="character" w:customStyle="1" w:styleId="SIK-berschrift1Zchn">
    <w:name w:val="SIK-Überschrift 1 Zchn"/>
    <w:basedOn w:val="Titolo1Carattere"/>
    <w:link w:val="SIK-berschrift1"/>
    <w:rsid w:val="009B46C0"/>
    <w:rPr>
      <w:rFonts w:ascii="Arial" w:eastAsia="Times New Roman" w:hAnsi="Arial" w:cs="Times New Roman"/>
      <w:b/>
      <w:szCs w:val="20"/>
      <w:lang w:val="it-CH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C148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483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4831"/>
    <w:rPr>
      <w:rFonts w:ascii="Arial" w:eastAsia="Times New Roman" w:hAnsi="Arial" w:cs="Times New Roman"/>
      <w:sz w:val="20"/>
      <w:szCs w:val="20"/>
      <w:lang w:val="it-CH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48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4831"/>
    <w:rPr>
      <w:rFonts w:ascii="Arial" w:eastAsia="Times New Roman" w:hAnsi="Arial" w:cs="Times New Roman"/>
      <w:b/>
      <w:bCs/>
      <w:sz w:val="20"/>
      <w:szCs w:val="20"/>
      <w:lang w:val="it-CH" w:eastAsia="de-DE"/>
    </w:rPr>
  </w:style>
  <w:style w:type="paragraph" w:styleId="Revisione">
    <w:name w:val="Revision"/>
    <w:hidden/>
    <w:uiPriority w:val="99"/>
    <w:semiHidden/>
    <w:rsid w:val="00087470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1E24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Document" ma:contentTypeID="0x010100A72604AC3457444BBDB537D1B9B34117" ma:contentTypeVersion="6" ma:contentTypeDescription="Create a new document." ma:contentTypeScope="" ma:versionID="69c746888dbac0d6283125ec9e6a6a1a">
  <xsd:schema xmlns:xsd="http://www.w3.org/2001/XMLSchema" xmlns:p="http://schemas.microsoft.com/office/2006/metadata/properties" xmlns:ns2="17895f5e-a352-4430-b34a-a47bac5f86f8" xmlns:ns3="eb5d8684-e9cd-45d7-9ccd-d0a0f5a21713" xmlns:xs="http://www.w3.org/2001/XMLSchema" targetNamespace="http://schemas.microsoft.com/office/2006/metadata/properties" ma:root="true" ma:fieldsID="f0eab09d335d709d17a8968d385a645d" ns2:_="" ns3:_="">
    <xsd:import xmlns:xs="http://www.w3.org/2001/XMLSchema" xmlns:xsd="http://www.w3.org/2001/XMLSchema" namespace="17895f5e-a352-4430-b34a-a47bac5f86f8"/>
    <xsd:import xmlns:xs="http://www.w3.org/2001/XMLSchema" xmlns:xsd="http://www.w3.org/2001/XMLSchema" namespace="eb5d8684-e9cd-45d7-9ccd-d0a0f5a21713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MediaServiceMetadata" minOccurs="0"/>
                <xsd:element xmlns:xs="http://www.w3.org/2001/XMLSchema" xmlns:xsd="http://www.w3.org/2001/XMLSchema" ref="ns2:MediaServiceFastMetadata" minOccurs="0"/>
                <xsd:element xmlns:xs="http://www.w3.org/2001/XMLSchema" xmlns:xsd="http://www.w3.org/2001/XMLSchema" ref="ns2:MediaServiceSearchProperties" minOccurs="0"/>
                <xsd:element xmlns:xs="http://www.w3.org/2001/XMLSchema" xmlns:xsd="http://www.w3.org/2001/XMLSchema" ref="ns2:MediaServiceObjectDetectorVersions" minOccurs="0"/>
                <xsd:element xmlns:xs="http://www.w3.org/2001/XMLSchema" xmlns:xsd="http://www.w3.org/2001/XMLSchema" ref="ns3:SharedWithUsers" minOccurs="0"/>
                <xsd:element xmlns:xs="http://www.w3.org/2001/XMLSchema" xmlns:xsd="http://www.w3.org/2001/XMLSchema" ref="ns3:SharedWithDetails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17895f5e-a352-4430-b34a-a47bac5f86f8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MediaServiceMetadata" ma:index="8" nillable="true" ma:displayName="MediaServiceMetadata" ma:hidden="true" ma:internalName="MediaService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FastMetadata" ma:index="9" nillable="true" ma:displayName="MediaServiceFastMetadata" ma:hidden="true" ma:internalName="MediaServiceFast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SearchProperties" ma:index="10" nillable="true" ma:displayName="MediaServiceSearchProperties" ma:hidden="true" ma:internalName="MediaServiceSearchProperties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ObjectDetectorVersions" ma:index="11" nillable="true" ma:displayName="MediaServiceObjectDetectorVersions" ma:hidden="true" ma:indexed="true" ma:internalName="MediaServiceObjectDetectorVersions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eb5d8684-e9cd-45d7-9ccd-d0a0f5a21713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SharedWithUsers" ma:index="12" nillable="true" ma:displayName="Shared With" ma:internalName="SharedWithUsers" ma:readOnly="true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UserMulti">
            <xsd:sequence xmlns:xs="http://www.w3.org/2001/XMLSchema" xmlns:xsd="http://www.w3.org/2001/XMLSchema">
              <xs:element xmlns:xsd="http://www.w3.org/2001/XMLSchema" xmlns:xs="http://www.w3.org/2001/XMLSchema" name="UserInfo" minOccurs="0" maxOccurs="unbounded">
                <xsd:complexType xmlns:xs="http://www.w3.org/2001/XMLSchema" xmlns:xsd="http://www.w3.org/2001/XMLSchema">
                  <xs:sequence xmlns:xsd="http://www.w3.org/2001/XMLSchema" xmlns:xs="http://www.w3.org/2001/XMLSchema">
                    <xsd:element xmlns:xs="http://www.w3.org/2001/XMLSchema" xmlns:xsd="http://www.w3.org/2001/XMLSchema" name="DisplayName" type="xsd:string" minOccurs="0"/>
                    <xsd:element xmlns:xs="http://www.w3.org/2001/XMLSchema" xmlns:xsd="http://www.w3.org/2001/XMLSchema" name="AccountId" type="dms:UserId" minOccurs="0" nillable="true"/>
                    <xsd:element xmlns:xs="http://www.w3.org/2001/XMLSchema" xmlns:xsd="http://www.w3.org/2001/XMLSchema" name="AccountType" type="xsd:string" minOccurs="0"/>
                  </xs:sequence>
                </xsd:complexType>
              </xs:element>
            </xsd:sequence>
          </xs:extension>
        </xsd:complexContent>
      </xs:complexType>
    </xsd:element>
    <xsd:element xmlns:xs="http://www.w3.org/2001/XMLSchema" xmlns:xsd="http://www.w3.org/2001/XMLSchema" name="SharedWithDetails" ma:index="13" nillable="true" ma:displayName="Shared With Details" ma:internalName="SharedWithDetails" ma:readOnly="true">
      <xs:simpleType xmlns:xsd="http://www.w3.org/2001/XMLSchema" xmlns:xs="http://www.w3.org/2001/XMLSchema">
        <xsd:restriction xmlns:xs="http://www.w3.org/2001/XMLSchema" xmlns:xsd="http://www.w3.org/2001/XMLSchema" base="dms:Note">
          <xs:maxLength xmlns:xsd="http://www.w3.org/2001/XMLSchema" xmlns:xs="http://www.w3.org/2001/XMLSchema" value="255"/>
        </xsd:restriction>
      </xs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3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/>
</p:properties>
</file>

<file path=customXml/itemProps1.xml><?xml version="1.0" encoding="utf-8"?>
<ds:datastoreItem xmlns:ds="http://schemas.openxmlformats.org/officeDocument/2006/customXml" ds:itemID="{18B501DA-6C02-4F4E-A482-EE211045B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95f5e-a352-4430-b34a-a47bac5f86f8"/>
    <ds:schemaRef ds:uri="eb5d8684-e9cd-45d7-9ccd-d0a0f5a21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10BA563F-E122-42B3-933D-4A7FED45CE27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B150E261-A964-4D77-8244-4654184AE88C}">
  <ds:schemaRefs>
    <ds:schemaRef ds:uri="http://schemas.microsoft.com/sharepoint/v3/contenttype/forms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EA905BEC-F556-498F-97E0-AEC119DD30B6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Vertragsvorlage für den Kauf von Hardware</vt:lpstr>
    </vt:vector>
  </TitlesOfParts>
  <Company/>
  <LinksUpToDate>false</LinksUpToDate>
  <CharactersWithSpaces>11685</CharactersWithSpaces>
  <SharedDoc>false</SharedDoc>
  <HLinks>
    <vt:vector size="72" baseType="variant"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_Toc26953290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_Toc26953289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_Toc26953288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_Toc26953287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_Toc26953286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_Toc26953285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_Toc26953284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_Toc26953283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_Toc26953282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_Toc26953281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_Toc26953280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_Toc26953279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Vertragsvorlage für den Kauf von Hardware</dc:title>
  <dc:subject/>
  <dc:creator>Andreas Marti</dc:creator>
  <cp:keywords/>
  <dc:description>20250305</dc:description>
  <cp:lastModifiedBy>Gelormino Gabriele GS-EFD</cp:lastModifiedBy>
  <cp:revision>48</cp:revision>
  <cp:lastPrinted>2019-12-19T17:21:00Z</cp:lastPrinted>
  <dcterms:created xsi:type="dcterms:W3CDTF">2019-12-10T15:57:00Z</dcterms:created>
  <dcterms:modified xsi:type="dcterms:W3CDTF">2025-05-30T06:03:00Z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0x010100A72604AC3457444BBDB537D1B9B34117</vt:lpwstr>
  </property>
  <property fmtid="{D5CDD505-2E9C-101B-9397-08002B2CF9AE}" pid="3" name="MEilenstein">
    <vt:lpwstr/>
  </property>
  <property fmtid="{D5CDD505-2E9C-101B-9397-08002B2CF9AE}" pid="4" name="URL">
    <vt:lpwstr/>
  </property>
  <property fmtid="{D5CDD505-2E9C-101B-9397-08002B2CF9AE}" pid="5" name="Dokumentenstatus0">
    <vt:lpwstr/>
  </property>
  <property fmtid="{D5CDD505-2E9C-101B-9397-08002B2CF9AE}" pid="6" name="Organisation">
    <vt:lpwstr/>
  </property>
  <property fmtid="{D5CDD505-2E9C-101B-9397-08002B2CF9AE}" pid="7" name="Dokumentenstatus">
    <vt:lpwstr/>
  </property>
  <property fmtid="{D5CDD505-2E9C-101B-9397-08002B2CF9AE}" pid="8" name="Dokumententyp0">
    <vt:lpwstr/>
  </property>
  <property fmtid="{D5CDD505-2E9C-101B-9397-08002B2CF9AE}" pid="9" name="Sprache0">
    <vt:lpwstr/>
  </property>
  <property fmtid="{D5CDD505-2E9C-101B-9397-08002B2CF9AE}" pid="10" name="MSIP_Label_245c3252-146d-46f3-8062-82cd8c8d7e7d_Enabled">
    <vt:lpwstr>true</vt:lpwstr>
  </property>
  <property fmtid="{D5CDD505-2E9C-101B-9397-08002B2CF9AE}" pid="11" name="MSIP_Label_245c3252-146d-46f3-8062-82cd8c8d7e7d_SetDate">
    <vt:lpwstr>2025-03-25T08:37:44Z</vt:lpwstr>
  </property>
  <property fmtid="{D5CDD505-2E9C-101B-9397-08002B2CF9AE}" pid="12" name="MSIP_Label_245c3252-146d-46f3-8062-82cd8c8d7e7d_Method">
    <vt:lpwstr>Privileged</vt:lpwstr>
  </property>
  <property fmtid="{D5CDD505-2E9C-101B-9397-08002B2CF9AE}" pid="13" name="MSIP_Label_245c3252-146d-46f3-8062-82cd8c8d7e7d_Name">
    <vt:lpwstr>L1</vt:lpwstr>
  </property>
  <property fmtid="{D5CDD505-2E9C-101B-9397-08002B2CF9AE}" pid="14" name="MSIP_Label_245c3252-146d-46f3-8062-82cd8c8d7e7d_SiteId">
    <vt:lpwstr>6ae27add-8276-4a38-88c1-3a9c1f973767</vt:lpwstr>
  </property>
  <property fmtid="{D5CDD505-2E9C-101B-9397-08002B2CF9AE}" pid="15" name="MSIP_Label_245c3252-146d-46f3-8062-82cd8c8d7e7d_ActionId">
    <vt:lpwstr>210661a4-46cc-4a93-823a-3a0bb541f714</vt:lpwstr>
  </property>
  <property fmtid="{D5CDD505-2E9C-101B-9397-08002B2CF9AE}" pid="16" name="MSIP_Label_245c3252-146d-46f3-8062-82cd8c8d7e7d_ContentBits">
    <vt:lpwstr>0</vt:lpwstr>
  </property>
  <property fmtid="{D5CDD505-2E9C-101B-9397-08002B2CF9AE}" pid="17" name="MSIP_Label_245c3252-146d-46f3-8062-82cd8c8d7e7d_Tag">
    <vt:lpwstr>10, 0, 1, 1</vt:lpwstr>
  </property>
</Properties>
</file>